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Revenue rose 12 percent.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Costs were flat.</w:t>
      </w:r>
      <w:commentRangeEnd w:id="1"/>
      <w:r>
        <w:rPr>
          <w:rStyle w:val="CommentReference"/>
        </w:rPr>
        <w:comment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ana Reviewer" w:initials="" w:date="2026-01-01T00:00:00Z">
    <w:p>
      <w:pPr>
        <w:pStyle w:val="CommentText"/>
      </w:pPr>
      <w:r>
        <w:rPr>
          <w:rStyle w:val="CommentReference"/>
        </w:rPr>
        <w:annotationRef/>
      </w:r>
      <w:r>
        <w:t>Check this number.</w:t>
      </w:r>
    </w:p>
  </w:comment>
  <w:comment w:id="1" w:author="Kim Auditor" w:initials="" w:date="2026-01-01T00:00:00Z">
    <w:p>
      <w:pPr>
        <w:pStyle w:val="CommentText"/>
      </w:pPr>
      <w:r>
        <w:rPr>
          <w:rStyle w:val="CommentReference"/>
        </w:rPr>
        <w:annotationRef/>
      </w:r>
      <w:r>
        <w:t>Source, please.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