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Costs fell four percent.</w:t>
      </w:r>
      <w:r>
        <w:endnote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2">
    <w:p>
      <w:r>
        <w:t>Source: the board minutes of 2 January.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Endnote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