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</w:rPr>
        <w:t>2026년 1분기 경영 보고</w:t>
      </w:r>
    </w:p>
    <w:p>
      <w:r>
        <w:rPr>
          <w:rFonts w:ascii="맑은 고딕" w:hAnsi="맑은 고딕"/>
        </w:rPr>
        <w:t>매출은 전 분기 대비 4퍼센트 늘었습니다.</w:t>
      </w:r>
    </w:p>
    <w:p>
      <w:r>
        <w:rPr>
          <w:rFonts w:ascii="맑은 고딕" w:hAnsi="맑은 고딕"/>
        </w:rPr>
        <w:t>영업이익률은 12.4％로 집계되었습니다.</w:t>
      </w:r>
    </w:p>
    <w:p>
      <w:pPr>
        <w:pStyle w:val="Heading2"/>
      </w:pPr>
      <w:r>
        <w:rPr>
          <w:rFonts w:ascii="맑은 고딕" w:hAnsi="맑은 고딕"/>
        </w:rPr>
        <w:t>가. 국내 부문</w:t>
      </w:r>
    </w:p>
    <w:p>
      <w:r>
        <w:rPr>
          <w:rFonts w:ascii="맑은 고딕" w:hAnsi="맑은 고딕"/>
        </w:rPr>
        <w:t>수도권 매출이 전체의 절반을 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