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/>
        </w:rPr>
        <w:t>연결 재무 요약 (2026-01-31 기준)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맑은 고딕" w:hAnsi="맑은 고딕"/>
              </w:rPr>
              <w:t>과목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</w:rPr>
              <w:t>당기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</w:rPr>
              <w:t>전기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</w:rPr>
              <w:t>증감률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</w:rPr>
              <w:t>매출액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</w:rPr>
              <w:t>1,234억 원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</w:rPr>
              <w:t>1,186억 원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</w:rPr>
              <w:t>4.0％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</w:rPr>
              <w:t>영업이익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</w:rPr>
              <w:t>153억 원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</w:rPr>
              <w:t>141억 원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</w:rPr>
              <w:t>8.5％</w:t>
            </w:r>
          </w:p>
        </w:tc>
      </w:tr>
      <w:tr>
        <w:tc>
          <w:tcPr>
            <w:tcW w:type="dxa" w:w="2160"/>
          </w:tcPr>
          <w:p>
            <w:r>
              <w:rPr>
                <w:rFonts w:ascii="맑은 고딕" w:hAnsi="맑은 고딕"/>
              </w:rPr>
              <w:t>당기순손실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</w:rPr>
              <w:t>(12억 원)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</w:rPr>
              <w:t>(31억 원)</w:t>
            </w:r>
          </w:p>
        </w:tc>
        <w:tc>
          <w:tcPr>
            <w:tcW w:type="dxa" w:w="2160"/>
          </w:tcPr>
          <w:p>
            <w:r>
              <w:rPr>
                <w:rFonts w:ascii="맑은 고딕" w:hAnsi="맑은 고딕"/>
              </w:rPr>
              <w:t>(61.3％)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