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pStyle w:val="Heading2"/>
        <w:spacing w:after="80" w:before="240"/>
      </w:pPr>
      <w:r>
        <w:rPr>
          <w:rFonts w:ascii="Calibri" w:cs="Calibri" w:eastAsia="Calibri" w:hAnsi="Calibri"/>
        </w:rPr>
        <w:t xml:space="preserve">Therapist Flow</w:t>
      </w:r>
    </w:p>
    <w:p>
      <w:pPr>
        <w:pStyle w:val="ListParagraph"/>
        <w:numPr>
          <w:ilvl w:val="0"/>
          <w:numId w:val="3"/>
        </w:numPr>
        <w:spacing w:after="60"/>
      </w:pPr>
      <w:r>
        <w:rPr>
          <w:rFonts w:ascii="Calibri" w:cs="Calibri" w:eastAsia="Calibri" w:hAnsi="Calibri"/>
        </w:rPr>
        <w:t xml:space="preserve">Login</w:t>
      </w:r>
    </w:p>
    <w:p>
      <w:pPr>
        <w:pStyle w:val="ListParagraph"/>
        <w:numPr>
          <w:ilvl w:val="0"/>
          <w:numId w:val="3"/>
        </w:numPr>
        <w:spacing w:after="60"/>
      </w:pPr>
      <w:r>
        <w:rPr>
          <w:rFonts w:ascii="Calibri" w:cs="Calibri" w:eastAsia="Calibri" w:hAnsi="Calibri"/>
        </w:rPr>
        <w:t xml:space="preserve">View assigned clients</w:t>
      </w:r>
    </w:p>
    <w:p>
      <w:pPr>
        <w:pStyle w:val="ListParagraph"/>
        <w:numPr>
          <w:ilvl w:val="0"/>
          <w:numId w:val="3"/>
        </w:numPr>
        <w:spacing w:after="60"/>
      </w:pPr>
      <w:r>
        <w:rPr>
          <w:rFonts w:ascii="Calibri" w:cs="Calibri" w:eastAsia="Calibri" w:hAnsi="Calibri"/>
        </w:rPr>
        <w:t xml:space="preserve">Start scheduled session (in person or telehealth)</w:t>
      </w:r>
    </w:p>
    <w:p>
      <w:pPr>
        <w:pStyle w:val="ListParagraph"/>
        <w:numPr>
          <w:ilvl w:val="0"/>
          <w:numId w:val="3"/>
        </w:numPr>
        <w:spacing w:after="60"/>
      </w:pPr>
      <w:r>
        <w:rPr>
          <w:rFonts w:ascii="Calibri" w:cs="Calibri" w:eastAsia="Calibri" w:hAnsi="Calibri"/>
        </w:rPr>
        <w:t xml:space="preserve">Monitor live indicators</w:t>
      </w:r>
    </w:p>
    <w:p>
      <w:pPr>
        <w:pStyle w:val="ListParagraph"/>
        <w:numPr>
          <w:ilvl w:val="0"/>
          <w:numId w:val="3"/>
        </w:numPr>
        <w:spacing w:after="60"/>
      </w:pPr>
      <w:r>
        <w:rPr>
          <w:rFonts w:ascii="Calibri" w:cs="Calibri" w:eastAsia="Calibri" w:hAnsi="Calibri"/>
        </w:rPr>
        <w:t xml:space="preserve">Receive soft alerts</w:t>
      </w:r>
    </w:p>
    <w:p>
      <w:pPr>
        <w:pStyle w:val="ListParagraph"/>
        <w:numPr>
          <w:ilvl w:val="0"/>
          <w:numId w:val="3"/>
        </w:numPr>
        <w:spacing w:after="60"/>
      </w:pPr>
      <w:r>
        <w:rPr>
          <w:rFonts w:ascii="Calibri" w:cs="Calibri" w:eastAsia="Calibri" w:hAnsi="Calibri"/>
        </w:rPr>
        <w:t xml:space="preserve">Add notes and markers</w:t>
      </w:r>
    </w:p>
    <w:p>
      <w:pPr>
        <w:pStyle w:val="ListParagraph"/>
        <w:numPr>
          <w:ilvl w:val="0"/>
          <w:numId w:val="3"/>
        </w:numPr>
        <w:spacing w:after="60"/>
      </w:pPr>
      <w:r>
        <w:rPr>
          <w:rFonts w:ascii="Calibri" w:cs="Calibri" w:eastAsia="Calibri" w:hAnsi="Calibri"/>
        </w:rPr>
        <w:t xml:space="preserve">End session</w:t>
      </w:r>
    </w:p>
    <w:p>
      <w:pPr>
        <w:pStyle w:val="ListParagraph"/>
        <w:numPr>
          <w:ilvl w:val="0"/>
          <w:numId w:val="3"/>
        </w:numPr>
        <w:spacing w:after="60"/>
      </w:pPr>
      <w:r>
        <w:rPr>
          <w:rFonts w:ascii="Calibri" w:cs="Calibri" w:eastAsia="Calibri" w:hAnsi="Calibri"/>
        </w:rPr>
        <w:t xml:space="preserve">Review, edit, and confirm the AI-generated session summary</w:t>
      </w:r>
    </w:p>
    <w:p>
      <w:pPr>
        <w:pStyle w:val="Heading2"/>
        <w:spacing w:after="80" w:before="240"/>
      </w:pPr>
      <w:r>
        <w:rPr>
          <w:rFonts w:ascii="Calibri" w:cs="Calibri" w:eastAsia="Calibri" w:hAnsi="Calibri"/>
        </w:rPr>
        <w:t xml:space="preserve">Supervisor Flow</w:t>
      </w:r>
    </w:p>
    <w:p>
      <w:pPr>
        <w:pStyle w:val="ListParagraph"/>
        <w:numPr>
          <w:ilvl w:val="0"/>
          <w:numId w:val="4"/>
        </w:numPr>
        <w:spacing w:after="60"/>
      </w:pPr>
      <w:r>
        <w:rPr>
          <w:rFonts w:ascii="Calibri" w:cs="Calibri" w:eastAsia="Calibri" w:hAnsi="Calibri"/>
        </w:rPr>
        <w:t xml:space="preserve">Login</w:t>
      </w:r>
    </w:p>
    <w:p>
      <w:pPr>
        <w:pStyle w:val="ListParagraph"/>
        <w:numPr>
          <w:ilvl w:val="0"/>
          <w:numId w:val="4"/>
        </w:numPr>
        <w:spacing w:after="60"/>
      </w:pPr>
      <w:r>
        <w:rPr>
          <w:rFonts w:ascii="Calibri" w:cs="Calibri" w:eastAsia="Calibri" w:hAnsi="Calibri"/>
        </w:rPr>
        <w:t xml:space="preserve">View caseload dashboard</w:t>
      </w:r>
    </w:p>
    <w:p>
      <w:pPr>
        <w:pStyle w:val="ListParagraph"/>
        <w:numPr>
          <w:ilvl w:val="0"/>
          <w:numId w:val="4"/>
        </w:numPr>
        <w:spacing w:after="60"/>
      </w:pPr>
      <w:r>
        <w:rPr>
          <w:rFonts w:ascii="Calibri" w:cs="Calibri" w:eastAsia="Calibri" w:hAnsi="Calibri"/>
        </w:rPr>
        <w:t xml:space="preserve">Monitor flagged or high-alert sessions</w:t>
      </w:r>
    </w:p>
    <w:p>
      <w:pPr>
        <w:pStyle w:val="ListParagraph"/>
        <w:numPr>
          <w:ilvl w:val="0"/>
          <w:numId w:val="4"/>
        </w:numPr>
        <w:spacing w:after="60"/>
      </w:pPr>
      <w:r>
        <w:rPr>
          <w:rFonts w:ascii="Calibri" w:cs="Calibri" w:eastAsia="Calibri" w:hAnsi="Calibri"/>
        </w:rPr>
        <w:t xml:space="preserve">Review summaries and trends</w:t>
      </w:r>
    </w:p>
    <w:p>
      <w:pPr>
        <w:pStyle w:val="ListParagraph"/>
        <w:numPr>
          <w:ilvl w:val="0"/>
          <w:numId w:val="4"/>
        </w:numPr>
        <w:spacing w:after="60"/>
      </w:pPr>
      <w:r>
        <w:rPr>
          <w:rFonts w:ascii="Calibri" w:cs="Calibri" w:eastAsia="Calibri" w:hAnsi="Calibri"/>
        </w:rPr>
        <w:t xml:space="preserve">Support therapists as needed</w:t>
      </w:r>
    </w:p>
    <w:p>
      <w:pPr>
        <w:pStyle w:val="Heading2"/>
        <w:spacing w:after="80" w:before="240"/>
      </w:pPr>
      <w:r>
        <w:rPr>
          <w:rFonts w:ascii="Calibri" w:cs="Calibri" w:eastAsia="Calibri" w:hAnsi="Calibri"/>
        </w:rPr>
        <w:t xml:space="preserve">Organization Admin / Clinic Manager Flow</w:t>
      </w:r>
    </w:p>
    <w:p>
      <w:pPr>
        <w:pStyle w:val="ListParagraph"/>
        <w:numPr>
          <w:ilvl w:val="0"/>
          <w:numId w:val="2"/>
        </w:numPr>
        <w:spacing w:after="60"/>
      </w:pPr>
      <w:r>
        <w:rPr>
          <w:rFonts w:ascii="Calibri" w:cs="Calibri" w:eastAsia="Calibri" w:hAnsi="Calibri"/>
        </w:rPr>
        <w:t xml:space="preserve">Log in using privileged authentication (MFA)</w:t>
      </w:r>
    </w:p>
    <w:p>
      <w:pPr>
        <w:pStyle w:val="ListParagraph"/>
        <w:numPr>
          <w:ilvl w:val="0"/>
          <w:numId w:val="2"/>
        </w:numPr>
        <w:spacing w:after="60"/>
      </w:pPr>
      <w:r>
        <w:rPr>
          <w:rFonts w:ascii="Calibri" w:cs="Calibri" w:eastAsia="Calibri" w:hAnsi="Calibri"/>
        </w:rPr>
        <w:t xml:space="preserve">Review organization dashboard, license usage, and outstanding actions</w:t>
      </w:r>
    </w:p>
    <w:p>
      <w:pPr>
        <w:pStyle w:val="ListParagraph"/>
        <w:numPr>
          <w:ilvl w:val="0"/>
          <w:numId w:val="2"/>
        </w:numPr>
        <w:spacing w:after="60"/>
      </w:pPr>
      <w:r>
        <w:rPr>
          <w:rFonts w:ascii="Calibri" w:cs="Calibri" w:eastAsia="Calibri" w:hAnsi="Calibri"/>
        </w:rPr>
        <w:t xml:space="preserve">Invite, deactivate, and assign roles to organization users</w:t>
      </w:r>
    </w:p>
    <w:p>
      <w:pPr>
        <w:pStyle w:val="ListParagraph"/>
        <w:numPr>
          <w:ilvl w:val="0"/>
          <w:numId w:val="2"/>
        </w:numPr>
        <w:spacing w:after="60"/>
      </w:pPr>
      <w:r>
        <w:rPr>
          <w:rFonts w:ascii="Calibri" w:cs="Calibri" w:eastAsia="Calibri" w:hAnsi="Calibri"/>
        </w:rPr>
        <w:t xml:space="preserve">Add, edit, archive, or restore client profiles</w:t>
      </w:r>
    </w:p>
    <w:p>
      <w:pPr>
        <w:pStyle w:val="ListParagraph"/>
        <w:numPr>
          <w:ilvl w:val="0"/>
          <w:numId w:val="2"/>
        </w:numPr>
        <w:spacing w:after="60"/>
      </w:pPr>
      <w:r>
        <w:rPr>
          <w:rFonts w:ascii="Calibri" w:cs="Calibri" w:eastAsia="Calibri" w:hAnsi="Calibri"/>
        </w:rPr>
        <w:t xml:space="preserve">Record each client’s signed consent</w:t>
      </w:r>
    </w:p>
    <w:p>
      <w:pPr>
        <w:pStyle w:val="ListParagraph"/>
        <w:numPr>
          <w:ilvl w:val="0"/>
          <w:numId w:val="2"/>
        </w:numPr>
        <w:spacing w:after="60"/>
      </w:pPr>
      <w:r>
        <w:rPr>
          <w:rFonts w:ascii="Calibri" w:cs="Calibri" w:eastAsia="Calibri" w:hAnsi="Calibri"/>
        </w:rPr>
        <w:t xml:space="preserve">Assign or reassign clients to therapists and supervisors</w:t>
      </w:r>
    </w:p>
    <w:p>
      <w:pPr>
        <w:pStyle w:val="ListParagraph"/>
        <w:numPr>
          <w:ilvl w:val="0"/>
          <w:numId w:val="2"/>
        </w:numPr>
        <w:spacing w:after="60"/>
      </w:pPr>
      <w:r>
        <w:rPr>
          <w:rFonts w:ascii="Calibri" w:cs="Calibri" w:eastAsia="Calibri" w:hAnsi="Calibri"/>
        </w:rPr>
        <w:t xml:space="preserve">Manage organization settings and view license allocation</w:t>
      </w:r>
    </w:p>
    <w:p>
      <w:pPr>
        <w:pStyle w:val="ListParagraph"/>
        <w:numPr>
          <w:ilvl w:val="0"/>
          <w:numId w:val="2"/>
        </w:numPr>
        <w:spacing w:after="60"/>
      </w:pPr>
      <w:r>
        <w:rPr>
          <w:rFonts w:ascii="Calibri" w:cs="Calibri" w:eastAsia="Calibri" w:hAnsi="Calibri"/>
        </w:rPr>
        <w:t xml:space="preserve">Review audit history for administrative changes</w:t>
      </w:r>
    </w:p>
    <w:p>
      <w:pPr>
        <w:pStyle w:val="Heading2"/>
        <w:spacing w:after="80" w:before="240"/>
      </w:pPr>
      <w:r>
        <w:rPr>
          <w:rFonts w:ascii="Calibri" w:cs="Calibri" w:eastAsia="Calibri" w:hAnsi="Calibri"/>
        </w:rPr>
        <w:t xml:space="preserve">BEST Back-Office Flow</w:t>
      </w:r>
    </w:p>
    <w:p>
      <w:pPr>
        <w:pStyle w:val="ListParagraph"/>
        <w:numPr>
          <w:ilvl w:val="0"/>
          <w:numId w:val="2"/>
        </w:numPr>
        <w:spacing w:after="60"/>
      </w:pPr>
      <w:r>
        <w:rPr>
          <w:rFonts w:ascii="Calibri" w:cs="Calibri" w:eastAsia="Calibri" w:hAnsi="Calibri"/>
        </w:rPr>
        <w:t xml:space="preserve">Log in with MFA and a function-specific back-office role</w:t>
      </w:r>
    </w:p>
    <w:p>
      <w:pPr>
        <w:pStyle w:val="ListParagraph"/>
        <w:numPr>
          <w:ilvl w:val="0"/>
          <w:numId w:val="2"/>
        </w:numPr>
        <w:spacing w:after="60"/>
      </w:pPr>
      <w:r>
        <w:rPr>
          <w:rFonts w:ascii="Calibri" w:cs="Calibri" w:eastAsia="Calibri" w:hAnsi="Calibri"/>
        </w:rPr>
        <w:t xml:space="preserve">Review customer organizations and their licenses</w:t>
      </w:r>
    </w:p>
    <w:p>
      <w:pPr>
        <w:pStyle w:val="ListParagraph"/>
        <w:numPr>
          <w:ilvl w:val="0"/>
          <w:numId w:val="2"/>
        </w:numPr>
        <w:spacing w:after="60"/>
      </w:pPr>
      <w:r>
        <w:rPr>
          <w:rFonts w:ascii="Calibri" w:cs="Calibri" w:eastAsia="Calibri" w:hAnsi="Calibri"/>
        </w:rPr>
        <w:t xml:space="preserve">Maintain the licensing table</w:t>
      </w:r>
    </w:p>
    <w:p>
      <w:pPr>
        <w:pStyle w:val="ListParagraph"/>
        <w:numPr>
          <w:ilvl w:val="0"/>
          <w:numId w:val="2"/>
        </w:numPr>
        <w:spacing w:after="60"/>
      </w:pPr>
      <w:r>
        <w:rPr>
          <w:rFonts w:ascii="Calibri" w:cs="Calibri" w:eastAsia="Calibri" w:hAnsi="Calibri"/>
        </w:rPr>
        <w:t xml:space="preserve">Monitor system load, availability, background jobs, integrations, logs, and errors</w:t>
      </w:r>
    </w:p>
    <w:p>
      <w:pPr>
        <w:pStyle w:val="ListParagraph"/>
        <w:numPr>
          <w:ilvl w:val="0"/>
          <w:numId w:val="2"/>
        </w:numPr>
        <w:spacing w:after="60"/>
      </w:pPr>
      <w:r>
        <w:rPr>
          <w:rFonts w:ascii="Calibri" w:cs="Calibri" w:eastAsia="Calibri" w:hAnsi="Calibri"/>
        </w:rPr>
        <w:t xml:space="preserve">Investigate incidents using masked operational data and correlation identifiers</w:t>
      </w:r>
    </w:p>
    <w:p>
      <w:pPr>
        <w:pStyle w:val="ListParagraph"/>
        <w:numPr>
          <w:ilvl w:val="0"/>
          <w:numId w:val="2"/>
        </w:numPr>
        <w:spacing w:after="60"/>
      </w:pPr>
      <w:r>
        <w:rPr>
          <w:rFonts w:ascii="Calibri" w:cs="Calibri" w:eastAsia="Calibri" w:hAnsi="Calibri"/>
        </w:rPr>
        <w:t xml:space="preserve">Use approved, time-bound support access only when necessary (Section 8.10)</w:t>
      </w:r>
    </w:p>
    <w:p>
      <w:pPr>
        <w:pStyle w:val="ListParagraph"/>
        <w:numPr>
          <w:ilvl w:val="0"/>
          <w:numId w:val="2"/>
        </w:numPr>
        <w:spacing w:after="60"/>
      </w:pPr>
      <w:r>
        <w:rPr>
          <w:rFonts w:ascii="Calibri" w:cs="Calibri" w:eastAsia="Calibri" w:hAnsi="Calibri"/>
        </w:rPr>
        <w:t xml:space="preserve">Apply authorized entitlement, configuration, or account-status changes</w:t>
      </w:r>
    </w:p>
    <w:p>
      <w:r>
        <w:br w:type="page"/>
      </w:r>
    </w:p>
    <w:p>
      <w:pPr>
        <w:spacing w:after="120" w:before="200" w:line="240" w:lineRule="auto"/>
        <w:jc w:val="center"/>
      </w:pPr>
      <w:r>
        <w:drawing>
          <wp:inline distT="0" distB="0" distL="0" distR="0">
            <wp:extent cx="2667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5781675"/>
                    </a:xfrm>
                    <a:prstGeom prst="rect">
                      <a:avLst/>
                    </a:prstGeom>
                  </pic:spPr>
                </pic:pic>
              </a:graphicData>
            </a:graphic>
          </wp:inline>
        </w:drawing>
      </w:r>
    </w:p>
    <w:p>
      <w:pPr>
        <w:jc w:val="center"/>
      </w:pPr>
      <w:r>
        <w:rPr>
          <w:rFonts w:ascii="Calibri" w:cs="Calibri" w:eastAsia="Calibri" w:hAnsi="Calibri"/>
          <w:i/>
          <w:iCs/>
          <w:color w:val="595959"/>
          <w:sz w:val="18"/>
          <w:szCs w:val="18"/>
        </w:rPr>
        <w:t xml:space="preserve">Figure 1. Users &amp; Workflows</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Data received from each wearable vendor is converted into one common format and stored in a dedicated wearable data table, linked to its organization, session, and client. The vendor’s original data is kept separately (Section 12.3). The table’s structure will be defined during design.</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44353e8b1dd8a93104205e569575c57ce95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2026-10-09T11:45:41.158Z</dcterms:created>
  <dcterms:modified xsi:type="dcterms:W3CDTF">2026-10-09T11:45:41.165Z</dcterms:modified>
</cp:coreProperties>
</file>

<file path=docProps/custom.xml><?xml version="1.0" encoding="utf-8"?>
<Properties xmlns="http://schemas.openxmlformats.org/officeDocument/2006/custom-properties" xmlns:vt="http://schemas.openxmlformats.org/officeDocument/2006/docPropsVTypes"/>
</file>