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Success Metrics</w:t>
      </w:r>
    </w:p>
    <w:p>
      <w:pPr>
        <w:spacing w:after="40"/>
        <w:ind w:left="360"/>
      </w:pPr>
      <w:r>
        <w:rPr>
          <w:rFonts w:ascii="Calibri" w:cs="Calibri" w:eastAsia="Calibri" w:hAnsi="Calibri"/>
        </w:rPr>
        <w:t xml:space="preserve">11. MVP Release Scope</w:t>
      </w:r>
    </w:p>
    <w:p>
      <w:pPr>
        <w:spacing w:after="40"/>
        <w:ind w:left="360"/>
      </w:pPr>
      <w:r>
        <w:rPr>
          <w:rFonts w:ascii="Calibri" w:cs="Calibri" w:eastAsia="Calibri" w:hAnsi="Calibri"/>
        </w:rPr>
        <w:t xml:space="preserve">12. Out of Scope</w:t>
      </w:r>
    </w:p>
    <w:p>
      <w:pPr>
        <w:spacing w:after="40"/>
        <w:ind w:left="360"/>
      </w:pPr>
      <w:r>
        <w:rPr>
          <w:rFonts w:ascii="Calibri" w:cs="Calibri" w:eastAsia="Calibri" w:hAnsi="Calibri"/>
        </w:rPr>
        <w:t xml:space="preserve">13. Data Strategy &amp; Existing BEST Data Usage</w:t>
      </w:r>
    </w:p>
    <w:p>
      <w:pPr>
        <w:spacing w:after="40"/>
        <w:ind w:left="360"/>
      </w:pPr>
      <w:r>
        <w:rPr>
          <w:rFonts w:ascii="Calibri" w:cs="Calibri" w:eastAsia="Calibri" w:hAnsi="Calibri"/>
        </w:rPr>
        <w:t xml:space="preserve">14. HIPAA Compliance &amp; Security Model</w:t>
      </w:r>
    </w:p>
    <w:p>
      <w:pPr>
        <w:spacing w:after="40"/>
        <w:ind w:left="360"/>
      </w:pPr>
      <w:r>
        <w:rPr>
          <w:rFonts w:ascii="Calibri" w:cs="Calibri" w:eastAsia="Calibri" w:hAnsi="Calibri"/>
        </w:rPr>
        <w:t xml:space="preserve">15. Data Infrastructure</w:t>
      </w:r>
    </w:p>
    <w:p>
      <w:pPr>
        <w:spacing w:after="40"/>
        <w:ind w:left="360"/>
      </w:pPr>
      <w:r>
        <w:rPr>
          <w:rFonts w:ascii="Calibri" w:cs="Calibri" w:eastAsia="Calibri" w:hAnsi="Calibri"/>
        </w:rPr>
        <w:t xml:space="preserve">16. Governance, Assumptions &amp; Risks</w:t>
      </w:r>
    </w:p>
    <w:p>
      <w:pPr>
        <w:spacing w:after="40"/>
        <w:ind w:left="360"/>
      </w:pPr>
      <w:r>
        <w:rPr>
          <w:rFonts w:ascii="Calibri" w:cs="Calibri" w:eastAsia="Calibri" w:hAnsi="Calibri"/>
        </w:rPr>
        <w:t xml:space="preserve">17. Administration and Back-Office Rollout Requirements</w:t>
      </w:r>
    </w:p>
    <w:p>
      <w:pPr>
        <w:spacing w:after="40"/>
        <w:ind w:left="360"/>
      </w:pPr>
      <w:r>
        <w:rPr>
          <w:rFonts w:ascii="Calibri" w:cs="Calibri" w:eastAsia="Calibri" w:hAnsi="Calibri"/>
        </w:rPr>
        <w:t xml:space="preserve">18. Telehealth Sessions (Remote Session Modality)</w:t>
      </w:r>
    </w:p>
    <w:p>
      <w:pPr>
        <w:spacing w:after="40"/>
        <w:ind w:left="360"/>
      </w:pPr>
      <w:r>
        <w:rPr>
          <w:rFonts w:ascii="Calibri" w:cs="Calibri" w:eastAsia="Calibri" w:hAnsi="Calibri"/>
        </w:rPr>
        <w:t xml:space="preserve">19.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18)</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19)</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pStyle w:val="Heading2"/>
        <w:spacing w:after="80" w:before="240"/>
      </w:pPr>
      <w:r>
        <w:rPr>
          <w:rFonts w:ascii="Calibri" w:cs="Calibri" w:eastAsia="Calibri" w:hAnsi="Calibri"/>
        </w:rPr>
        <w:t xml:space="preserve">Therapist Flow</w:t>
      </w:r>
    </w:p>
    <w:p>
      <w:pPr>
        <w:pStyle w:val="ListParagraph"/>
        <w:numPr>
          <w:ilvl w:val="0"/>
          <w:numId w:val="3"/>
        </w:numPr>
        <w:spacing w:after="60"/>
      </w:pPr>
      <w:r>
        <w:rPr>
          <w:rFonts w:ascii="Calibri" w:cs="Calibri" w:eastAsia="Calibri" w:hAnsi="Calibri"/>
        </w:rPr>
        <w:t xml:space="preserve">Login</w:t>
      </w:r>
    </w:p>
    <w:p>
      <w:pPr>
        <w:pStyle w:val="ListParagraph"/>
        <w:numPr>
          <w:ilvl w:val="0"/>
          <w:numId w:val="3"/>
        </w:numPr>
        <w:spacing w:after="60"/>
      </w:pPr>
      <w:r>
        <w:rPr>
          <w:rFonts w:ascii="Calibri" w:cs="Calibri" w:eastAsia="Calibri" w:hAnsi="Calibri"/>
        </w:rPr>
        <w:t xml:space="preserve">View assigned clients</w:t>
      </w:r>
    </w:p>
    <w:p>
      <w:pPr>
        <w:pStyle w:val="ListParagraph"/>
        <w:numPr>
          <w:ilvl w:val="0"/>
          <w:numId w:val="3"/>
        </w:numPr>
        <w:spacing w:after="60"/>
      </w:pPr>
      <w:r>
        <w:rPr>
          <w:rFonts w:ascii="Calibri" w:cs="Calibri" w:eastAsia="Calibri" w:hAnsi="Calibri"/>
        </w:rPr>
        <w:t xml:space="preserve">Start scheduled session (in person or telehealth)</w:t>
      </w:r>
    </w:p>
    <w:p>
      <w:pPr>
        <w:pStyle w:val="ListParagraph"/>
        <w:numPr>
          <w:ilvl w:val="0"/>
          <w:numId w:val="3"/>
        </w:numPr>
        <w:spacing w:after="60"/>
      </w:pPr>
      <w:r>
        <w:rPr>
          <w:rFonts w:ascii="Calibri" w:cs="Calibri" w:eastAsia="Calibri" w:hAnsi="Calibri"/>
        </w:rPr>
        <w:t xml:space="preserve">Monitor live indicators</w:t>
      </w:r>
    </w:p>
    <w:p>
      <w:pPr>
        <w:pStyle w:val="ListParagraph"/>
        <w:numPr>
          <w:ilvl w:val="0"/>
          <w:numId w:val="3"/>
        </w:numPr>
        <w:spacing w:after="60"/>
      </w:pPr>
      <w:r>
        <w:rPr>
          <w:rFonts w:ascii="Calibri" w:cs="Calibri" w:eastAsia="Calibri" w:hAnsi="Calibri"/>
        </w:rPr>
        <w:t xml:space="preserve">Receive soft alerts</w:t>
      </w:r>
    </w:p>
    <w:p>
      <w:pPr>
        <w:pStyle w:val="ListParagraph"/>
        <w:numPr>
          <w:ilvl w:val="0"/>
          <w:numId w:val="3"/>
        </w:numPr>
        <w:spacing w:after="60"/>
      </w:pPr>
      <w:r>
        <w:rPr>
          <w:rFonts w:ascii="Calibri" w:cs="Calibri" w:eastAsia="Calibri" w:hAnsi="Calibri"/>
        </w:rPr>
        <w:t xml:space="preserve">Add notes and markers</w:t>
      </w:r>
    </w:p>
    <w:p>
      <w:pPr>
        <w:pStyle w:val="ListParagraph"/>
        <w:numPr>
          <w:ilvl w:val="0"/>
          <w:numId w:val="3"/>
        </w:numPr>
        <w:spacing w:after="60"/>
      </w:pPr>
      <w:r>
        <w:rPr>
          <w:rFonts w:ascii="Calibri" w:cs="Calibri" w:eastAsia="Calibri" w:hAnsi="Calibri"/>
        </w:rPr>
        <w:t xml:space="preserve">End session</w:t>
      </w:r>
    </w:p>
    <w:p>
      <w:pPr>
        <w:pStyle w:val="ListParagraph"/>
        <w:numPr>
          <w:ilvl w:val="0"/>
          <w:numId w:val="3"/>
        </w:numPr>
        <w:spacing w:after="60"/>
      </w:pPr>
      <w:r>
        <w:rPr>
          <w:rFonts w:ascii="Calibri" w:cs="Calibri" w:eastAsia="Calibri" w:hAnsi="Calibri"/>
        </w:rPr>
        <w:t xml:space="preserve">Review, edit, and confirm the AI-generated session summary</w:t>
      </w:r>
    </w:p>
    <w:p>
      <w:pPr>
        <w:pStyle w:val="Heading2"/>
        <w:spacing w:after="80" w:before="240"/>
      </w:pPr>
      <w:r>
        <w:rPr>
          <w:rFonts w:ascii="Calibri" w:cs="Calibri" w:eastAsia="Calibri" w:hAnsi="Calibri"/>
        </w:rPr>
        <w:t xml:space="preserve">Supervisor Flow</w:t>
      </w:r>
    </w:p>
    <w:p>
      <w:pPr>
        <w:pStyle w:val="ListParagraph"/>
        <w:numPr>
          <w:ilvl w:val="0"/>
          <w:numId w:val="4"/>
        </w:numPr>
        <w:spacing w:after="60"/>
      </w:pPr>
      <w:r>
        <w:rPr>
          <w:rFonts w:ascii="Calibri" w:cs="Calibri" w:eastAsia="Calibri" w:hAnsi="Calibri"/>
        </w:rPr>
        <w:t xml:space="preserve">Login</w:t>
      </w:r>
    </w:p>
    <w:p>
      <w:pPr>
        <w:pStyle w:val="ListParagraph"/>
        <w:numPr>
          <w:ilvl w:val="0"/>
          <w:numId w:val="4"/>
        </w:numPr>
        <w:spacing w:after="60"/>
      </w:pPr>
      <w:r>
        <w:rPr>
          <w:rFonts w:ascii="Calibri" w:cs="Calibri" w:eastAsia="Calibri" w:hAnsi="Calibri"/>
        </w:rPr>
        <w:t xml:space="preserve">View caseload dashboard</w:t>
      </w:r>
    </w:p>
    <w:p>
      <w:pPr>
        <w:pStyle w:val="ListParagraph"/>
        <w:numPr>
          <w:ilvl w:val="0"/>
          <w:numId w:val="4"/>
        </w:numPr>
        <w:spacing w:after="60"/>
      </w:pPr>
      <w:r>
        <w:rPr>
          <w:rFonts w:ascii="Calibri" w:cs="Calibri" w:eastAsia="Calibri" w:hAnsi="Calibri"/>
        </w:rPr>
        <w:t xml:space="preserve">Monitor flagged or high-alert sessions</w:t>
      </w:r>
    </w:p>
    <w:p>
      <w:pPr>
        <w:pStyle w:val="ListParagraph"/>
        <w:numPr>
          <w:ilvl w:val="0"/>
          <w:numId w:val="4"/>
        </w:numPr>
        <w:spacing w:after="60"/>
      </w:pPr>
      <w:r>
        <w:rPr>
          <w:rFonts w:ascii="Calibri" w:cs="Calibri" w:eastAsia="Calibri" w:hAnsi="Calibri"/>
        </w:rPr>
        <w:t xml:space="preserve">Review summaries and trends</w:t>
      </w:r>
    </w:p>
    <w:p>
      <w:pPr>
        <w:pStyle w:val="ListParagraph"/>
        <w:numPr>
          <w:ilvl w:val="0"/>
          <w:numId w:val="4"/>
        </w:numPr>
        <w:spacing w:after="60"/>
      </w:pPr>
      <w:r>
        <w:rPr>
          <w:rFonts w:ascii="Calibri" w:cs="Calibri" w:eastAsia="Calibri" w:hAnsi="Calibri"/>
        </w:rPr>
        <w:t xml:space="preserve">Support therapists as needed</w:t>
      </w:r>
    </w:p>
    <w:p>
      <w:pPr>
        <w:pStyle w:val="Heading2"/>
        <w:spacing w:after="80" w:before="240"/>
      </w:pPr>
      <w:r>
        <w:rPr>
          <w:rFonts w:ascii="Calibri" w:cs="Calibri" w:eastAsia="Calibri" w:hAnsi="Calibri"/>
        </w:rPr>
        <w:t xml:space="preserve">Organization Admin / Clinic Manager Flow</w:t>
      </w:r>
    </w:p>
    <w:p>
      <w:pPr>
        <w:pStyle w:val="ListParagraph"/>
        <w:numPr>
          <w:ilvl w:val="0"/>
          <w:numId w:val="2"/>
        </w:numPr>
        <w:spacing w:after="60"/>
      </w:pPr>
      <w:r>
        <w:rPr>
          <w:rFonts w:ascii="Calibri" w:cs="Calibri" w:eastAsia="Calibri" w:hAnsi="Calibri"/>
        </w:rPr>
        <w:t xml:space="preserve">Log in using privileged authentication (MFA)</w:t>
      </w:r>
    </w:p>
    <w:p>
      <w:pPr>
        <w:pStyle w:val="ListParagraph"/>
        <w:numPr>
          <w:ilvl w:val="0"/>
          <w:numId w:val="2"/>
        </w:numPr>
        <w:spacing w:after="60"/>
      </w:pPr>
      <w:r>
        <w:rPr>
          <w:rFonts w:ascii="Calibri" w:cs="Calibri" w:eastAsia="Calibri" w:hAnsi="Calibri"/>
        </w:rPr>
        <w:t xml:space="preserve">Review organization dashboard, license usage, and outstanding actions</w:t>
      </w:r>
    </w:p>
    <w:p>
      <w:pPr>
        <w:pStyle w:val="ListParagraph"/>
        <w:numPr>
          <w:ilvl w:val="0"/>
          <w:numId w:val="2"/>
        </w:numPr>
        <w:spacing w:after="60"/>
      </w:pPr>
      <w:r>
        <w:rPr>
          <w:rFonts w:ascii="Calibri" w:cs="Calibri" w:eastAsia="Calibri" w:hAnsi="Calibri"/>
        </w:rPr>
        <w:t xml:space="preserve">Invite, deactivate, and assign roles to organization users</w:t>
      </w:r>
    </w:p>
    <w:p>
      <w:pPr>
        <w:pStyle w:val="ListParagraph"/>
        <w:numPr>
          <w:ilvl w:val="0"/>
          <w:numId w:val="2"/>
        </w:numPr>
        <w:spacing w:after="60"/>
      </w:pPr>
      <w:r>
        <w:rPr>
          <w:rFonts w:ascii="Calibri" w:cs="Calibri" w:eastAsia="Calibri" w:hAnsi="Calibri"/>
        </w:rPr>
        <w:t xml:space="preserve">Add, edit, archive, or restore client profiles</w:t>
      </w:r>
    </w:p>
    <w:p>
      <w:pPr>
        <w:pStyle w:val="ListParagraph"/>
        <w:numPr>
          <w:ilvl w:val="0"/>
          <w:numId w:val="2"/>
        </w:numPr>
        <w:spacing w:after="60"/>
      </w:pPr>
      <w:r>
        <w:rPr>
          <w:rFonts w:ascii="Calibri" w:cs="Calibri" w:eastAsia="Calibri" w:hAnsi="Calibri"/>
        </w:rPr>
        <w:t xml:space="preserve">Record each client’s signed consent</w:t>
      </w:r>
    </w:p>
    <w:p>
      <w:pPr>
        <w:pStyle w:val="ListParagraph"/>
        <w:numPr>
          <w:ilvl w:val="0"/>
          <w:numId w:val="2"/>
        </w:numPr>
        <w:spacing w:after="60"/>
      </w:pPr>
      <w:r>
        <w:rPr>
          <w:rFonts w:ascii="Calibri" w:cs="Calibri" w:eastAsia="Calibri" w:hAnsi="Calibri"/>
        </w:rPr>
        <w:t xml:space="preserve">Assign or reassign clients to therapists and supervisors</w:t>
      </w:r>
    </w:p>
    <w:p>
      <w:pPr>
        <w:pStyle w:val="ListParagraph"/>
        <w:numPr>
          <w:ilvl w:val="0"/>
          <w:numId w:val="2"/>
        </w:numPr>
        <w:spacing w:after="60"/>
      </w:pPr>
      <w:r>
        <w:rPr>
          <w:rFonts w:ascii="Calibri" w:cs="Calibri" w:eastAsia="Calibri" w:hAnsi="Calibri"/>
        </w:rPr>
        <w:t xml:space="preserve">Manage organization settings and view license allocation</w:t>
      </w:r>
    </w:p>
    <w:p>
      <w:pPr>
        <w:pStyle w:val="ListParagraph"/>
        <w:numPr>
          <w:ilvl w:val="0"/>
          <w:numId w:val="2"/>
        </w:numPr>
        <w:spacing w:after="60"/>
      </w:pPr>
      <w:r>
        <w:rPr>
          <w:rFonts w:ascii="Calibri" w:cs="Calibri" w:eastAsia="Calibri" w:hAnsi="Calibri"/>
        </w:rPr>
        <w:t xml:space="preserve">Review audit history for administrative changes</w:t>
      </w:r>
    </w:p>
    <w:p>
      <w:pPr>
        <w:pStyle w:val="Heading2"/>
        <w:spacing w:after="80" w:before="240"/>
      </w:pPr>
      <w:r>
        <w:rPr>
          <w:rFonts w:ascii="Calibri" w:cs="Calibri" w:eastAsia="Calibri" w:hAnsi="Calibri"/>
        </w:rPr>
        <w:t xml:space="preserve">BEST Back-Office Flow</w:t>
      </w:r>
    </w:p>
    <w:p>
      <w:pPr>
        <w:pStyle w:val="ListParagraph"/>
        <w:numPr>
          <w:ilvl w:val="0"/>
          <w:numId w:val="2"/>
        </w:numPr>
        <w:spacing w:after="60"/>
      </w:pPr>
      <w:r>
        <w:rPr>
          <w:rFonts w:ascii="Calibri" w:cs="Calibri" w:eastAsia="Calibri" w:hAnsi="Calibri"/>
        </w:rPr>
        <w:t xml:space="preserve">Log in with MFA and a function-specific back-office role</w:t>
      </w:r>
    </w:p>
    <w:p>
      <w:pPr>
        <w:pStyle w:val="ListParagraph"/>
        <w:numPr>
          <w:ilvl w:val="0"/>
          <w:numId w:val="2"/>
        </w:numPr>
        <w:spacing w:after="60"/>
      </w:pPr>
      <w:r>
        <w:rPr>
          <w:rFonts w:ascii="Calibri" w:cs="Calibri" w:eastAsia="Calibri" w:hAnsi="Calibri"/>
        </w:rPr>
        <w:t xml:space="preserve">Review customer organizations and their licenses</w:t>
      </w:r>
    </w:p>
    <w:p>
      <w:pPr>
        <w:pStyle w:val="ListParagraph"/>
        <w:numPr>
          <w:ilvl w:val="0"/>
          <w:numId w:val="2"/>
        </w:numPr>
        <w:spacing w:after="60"/>
      </w:pPr>
      <w:r>
        <w:rPr>
          <w:rFonts w:ascii="Calibri" w:cs="Calibri" w:eastAsia="Calibri" w:hAnsi="Calibri"/>
        </w:rPr>
        <w:t xml:space="preserve">Maintain the licensing table</w:t>
      </w:r>
    </w:p>
    <w:p>
      <w:pPr>
        <w:pStyle w:val="ListParagraph"/>
        <w:numPr>
          <w:ilvl w:val="0"/>
          <w:numId w:val="2"/>
        </w:numPr>
        <w:spacing w:after="60"/>
      </w:pPr>
      <w:r>
        <w:rPr>
          <w:rFonts w:ascii="Calibri" w:cs="Calibri" w:eastAsia="Calibri" w:hAnsi="Calibri"/>
        </w:rPr>
        <w:t xml:space="preserve">Monitor system load, availability, background jobs, integrations, logs, and errors</w:t>
      </w:r>
    </w:p>
    <w:p>
      <w:pPr>
        <w:pStyle w:val="ListParagraph"/>
        <w:numPr>
          <w:ilvl w:val="0"/>
          <w:numId w:val="2"/>
        </w:numPr>
        <w:spacing w:after="60"/>
      </w:pPr>
      <w:r>
        <w:rPr>
          <w:rFonts w:ascii="Calibri" w:cs="Calibri" w:eastAsia="Calibri" w:hAnsi="Calibri"/>
        </w:rPr>
        <w:t xml:space="preserve">Investigate incidents using masked operational data and correlation identifiers</w:t>
      </w:r>
    </w:p>
    <w:p>
      <w:pPr>
        <w:pStyle w:val="ListParagraph"/>
        <w:numPr>
          <w:ilvl w:val="0"/>
          <w:numId w:val="2"/>
        </w:numPr>
        <w:spacing w:after="60"/>
      </w:pPr>
      <w:r>
        <w:rPr>
          <w:rFonts w:ascii="Calibri" w:cs="Calibri" w:eastAsia="Calibri" w:hAnsi="Calibri"/>
        </w:rPr>
        <w:t xml:space="preserve">Use approved, time-bound support access only when necessary (Section 8.10)</w:t>
      </w:r>
    </w:p>
    <w:p>
      <w:pPr>
        <w:pStyle w:val="ListParagraph"/>
        <w:numPr>
          <w:ilvl w:val="0"/>
          <w:numId w:val="2"/>
        </w:numPr>
        <w:spacing w:after="60"/>
      </w:pPr>
      <w:r>
        <w:rPr>
          <w:rFonts w:ascii="Calibri" w:cs="Calibri" w:eastAsia="Calibri" w:hAnsi="Calibri"/>
        </w:rPr>
        <w:t xml:space="preserve">Apply authorized entitlement, configuration, or account-status changes</w:t>
      </w:r>
    </w:p>
    <w:p>
      <w:r>
        <w:br w:type="page"/>
      </w:r>
    </w:p>
    <w:p>
      <w:pPr>
        <w:spacing w:after="120" w:before="200" w:line="240" w:lineRule="auto"/>
        <w:jc w:val="center"/>
      </w:pPr>
      <w:r>
        <w:drawing>
          <wp:inline distT="0" distB="0" distL="0" distR="0">
            <wp:extent cx="2667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5781675"/>
                    </a:xfrm>
                    <a:prstGeom prst="rect">
                      <a:avLst/>
                    </a:prstGeom>
                  </pic:spPr>
                </pic:pic>
              </a:graphicData>
            </a:graphic>
          </wp:inline>
        </w:drawing>
      </w:r>
    </w:p>
    <w:p>
      <w:pPr>
        <w:jc w:val="center"/>
      </w:pPr>
      <w:r>
        <w:rPr>
          <w:rFonts w:ascii="Calibri" w:cs="Calibri" w:eastAsia="Calibri" w:hAnsi="Calibri"/>
          <w:i/>
          <w:iCs/>
          <w:color w:val="595959"/>
          <w:sz w:val="18"/>
          <w:szCs w:val="18"/>
        </w:rPr>
        <w:t xml:space="preserve">Figure 1. Users &amp; Workflows</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14.1)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18.6)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Each vendor’s data is converted by an adapter into one common format before the platform stores or interprets it. Data arrives in sync batches; each batch carries the readings for one device and one session window.</w:t>
      </w:r>
    </w:p>
    <w:p>
      <w:pPr>
        <w:pStyle w:val="Heading2"/>
        <w:spacing w:after="80" w:before="240"/>
      </w:pPr>
      <w:r>
        <w:rPr>
          <w:rFonts w:ascii="Calibri" w:cs="Calibri" w:eastAsia="Calibri" w:hAnsi="Calibri"/>
        </w:rPr>
        <w:t xml:space="preserve">9.1 Sync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5054"/>
      </w:tblGrid>
      <w:tr>
        <w:trPr>
          <w:cantSplit/>
          <w:tblHeader/>
        </w:trPr>
        <w:tc>
          <w:tcPr>
            <w:tcW w:type="dxa" w:w="187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121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Type</w:t>
            </w:r>
          </w:p>
        </w:tc>
        <w:tc>
          <w:tcPr>
            <w:tcW w:type="dxa" w:w="121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Required</w:t>
            </w:r>
          </w:p>
        </w:tc>
        <w:tc>
          <w:tcPr>
            <w:tcW w:type="dxa" w:w="505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batch_id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UUID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 for the sync batch</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organization_id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UUID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Tenant the session belongs to</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session_id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UUID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the readings belong to</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client_ref</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UUID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Surrogate client ID; never a name or direct identifier</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device_id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String</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Vendor’s device identifier</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vendor</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String</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Vendor name</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window_start</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Timestamp</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of the period covered (ISO 8601, UTC)</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window_end</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Timestamp</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of the period covered (ISO 8601, UTC)</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received_at</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Timestamp</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When the platform received the batch (ISO 8601, UTC)</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readings</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Array</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List of readings (Section 9.2)</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raw_payload_ref</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String</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Pointer to the vendor’s original payload, stored separately</w:t>
            </w:r>
          </w:p>
        </w:tc>
      </w:tr>
    </w:tbl>
    <w:p>
      <w:pPr>
        <w:spacing w:after="80"/>
      </w:pPr>
    </w:p>
    <w:p>
      <w:pPr>
        <w:pStyle w:val="Heading2"/>
        <w:spacing w:after="80" w:before="240"/>
      </w:pPr>
      <w:r>
        <w:rPr>
          <w:rFonts w:ascii="Calibri" w:cs="Calibri" w:eastAsia="Calibri" w:hAnsi="Calibri"/>
        </w:rPr>
        <w:t xml:space="preserve">9.2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5054"/>
      </w:tblGrid>
      <w:tr>
        <w:trPr>
          <w:cantSplit/>
          <w:tblHeader/>
        </w:trPr>
        <w:tc>
          <w:tcPr>
            <w:tcW w:type="dxa" w:w="187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121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Type</w:t>
            </w:r>
          </w:p>
        </w:tc>
        <w:tc>
          <w:tcPr>
            <w:tcW w:type="dxa" w:w="121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Required</w:t>
            </w:r>
          </w:p>
        </w:tc>
        <w:tc>
          <w:tcPr>
            <w:tcW w:type="dxa" w:w="505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metric</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Enum</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heart_rate | activity | ambient_noise</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value</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Decimal</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Measured value in the metric’s standard unit</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unit</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Enum</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bpm (heart_rate) | steps_per_min (activity) | dBA (ambient_noise)</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measured_at</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Timestamp</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When the reading was taken (ISO 8601, UTC)</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sample_interval_s</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Integer</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Seconds covered by the reading</w:t>
            </w:r>
          </w:p>
        </w:tc>
      </w:tr>
      <w:tr>
        <w:trPr>
          <w:cantSplit/>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quality</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Enum</w:t>
            </w:r>
          </w:p>
        </w:tc>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Yes</w:t>
            </w:r>
          </w:p>
        </w:tc>
        <w:tc>
          <w:tcPr>
            <w:tcW w:type="dxa" w:w="5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good | low | missing</w:t>
            </w:r>
          </w:p>
        </w:tc>
      </w:tr>
    </w:tbl>
    <w:p>
      <w:pPr>
        <w:spacing w:after="80"/>
      </w:pPr>
    </w:p>
    <w:p>
      <w:pPr>
        <w:pStyle w:val="Heading2"/>
        <w:spacing w:after="80" w:before="240"/>
      </w:pPr>
      <w:r>
        <w:rPr>
          <w:rFonts w:ascii="Calibri" w:cs="Calibri" w:eastAsia="Calibri" w:hAnsi="Calibri"/>
        </w:rPr>
        <w:t xml:space="preserve">9.3 Example</w:t>
      </w:r>
    </w:p>
    <w:p>
      <w:pPr>
        <w:shd w:fill="F2F2F2" w:color="auto" w:val="clear"/>
        <w:spacing w:after="0" w:line="240" w:lineRule="auto"/>
        <w:ind w:left="200" w:right="200"/>
      </w:pPr>
      <w:r>
        <w:rPr>
          <w:rFonts w:ascii="Consolas" w:cs="Consolas" w:eastAsia="Consolas" w:hAnsi="Consolas"/>
          <w:sz w:val="18"/>
          <w:szCs w:val="18"/>
        </w:rPr>
        <w:t xml:space="preserve">{</w:t>
      </w:r>
    </w:p>
    <w:p>
      <w:pPr>
        <w:shd w:fill="F2F2F2" w:color="auto" w:val="clear"/>
        <w:spacing w:after="0" w:line="240" w:lineRule="auto"/>
        <w:ind w:left="200" w:right="200"/>
      </w:pPr>
      <w:r>
        <w:rPr>
          <w:rFonts w:ascii="Consolas" w:cs="Consolas" w:eastAsia="Consolas" w:hAnsi="Consolas"/>
          <w:sz w:val="18"/>
          <w:szCs w:val="18"/>
        </w:rPr>
        <w:t xml:space="preserve">  "batch_id": "6f1c2a9e-5b3d-4c7a-9e21-0d4b7a8c1f32",</w:t>
      </w:r>
    </w:p>
    <w:p>
      <w:pPr>
        <w:shd w:fill="F2F2F2" w:color="auto" w:val="clear"/>
        <w:spacing w:after="0" w:line="240" w:lineRule="auto"/>
        <w:ind w:left="200" w:right="200"/>
      </w:pPr>
      <w:r>
        <w:rPr>
          <w:rFonts w:ascii="Consolas" w:cs="Consolas" w:eastAsia="Consolas" w:hAnsi="Consolas"/>
          <w:sz w:val="18"/>
          <w:szCs w:val="18"/>
        </w:rPr>
        <w:t xml:space="preserve">  "organization_id": "a2e4f1b7-3c9d-4e10-8b2a-5f6c7d8e9a01",</w:t>
      </w:r>
    </w:p>
    <w:p>
      <w:pPr>
        <w:shd w:fill="F2F2F2" w:color="auto" w:val="clear"/>
        <w:spacing w:after="0" w:line="240" w:lineRule="auto"/>
        <w:ind w:left="200" w:right="200"/>
      </w:pPr>
      <w:r>
        <w:rPr>
          <w:rFonts w:ascii="Consolas" w:cs="Consolas" w:eastAsia="Consolas" w:hAnsi="Consolas"/>
          <w:sz w:val="18"/>
          <w:szCs w:val="18"/>
        </w:rPr>
        <w:t xml:space="preserve">  "session_id": "c91b0d2e-7a4f-4b3c-9d1e-2f3a4b5c6d7e",</w:t>
      </w:r>
    </w:p>
    <w:p>
      <w:pPr>
        <w:shd w:fill="F2F2F2" w:color="auto" w:val="clear"/>
        <w:spacing w:after="0" w:line="240" w:lineRule="auto"/>
        <w:ind w:left="200" w:right="200"/>
      </w:pPr>
      <w:r>
        <w:rPr>
          <w:rFonts w:ascii="Consolas" w:cs="Consolas" w:eastAsia="Consolas" w:hAnsi="Consolas"/>
          <w:sz w:val="18"/>
          <w:szCs w:val="18"/>
        </w:rPr>
        <w:t xml:space="preserve">  "client_ref": "7d0f9e8d-1c2b-4a3f-8e7d-6c5b4a392817",</w:t>
      </w:r>
    </w:p>
    <w:p>
      <w:pPr>
        <w:shd w:fill="F2F2F2" w:color="auto" w:val="clear"/>
        <w:spacing w:after="0" w:line="240" w:lineRule="auto"/>
        <w:ind w:left="200" w:right="200"/>
      </w:pPr>
      <w:r>
        <w:rPr>
          <w:rFonts w:ascii="Consolas" w:cs="Consolas" w:eastAsia="Consolas" w:hAnsi="Consolas"/>
          <w:sz w:val="18"/>
          <w:szCs w:val="18"/>
        </w:rPr>
        <w:t xml:space="preserve">  "device_id": "WX-20391", "vendor": "ExampleVendor",</w:t>
      </w:r>
    </w:p>
    <w:p>
      <w:pPr>
        <w:shd w:fill="F2F2F2" w:color="auto" w:val="clear"/>
        <w:spacing w:after="0" w:line="240" w:lineRule="auto"/>
        <w:ind w:left="200" w:right="200"/>
      </w:pPr>
      <w:r>
        <w:rPr>
          <w:rFonts w:ascii="Consolas" w:cs="Consolas" w:eastAsia="Consolas" w:hAnsi="Consolas"/>
          <w:sz w:val="18"/>
          <w:szCs w:val="18"/>
        </w:rPr>
        <w:t xml:space="preserve">  "window_start": "2026-11-02T15:00:00Z",</w:t>
      </w:r>
    </w:p>
    <w:p>
      <w:pPr>
        <w:shd w:fill="F2F2F2" w:color="auto" w:val="clear"/>
        <w:spacing w:after="0" w:line="240" w:lineRule="auto"/>
        <w:ind w:left="200" w:right="200"/>
      </w:pPr>
      <w:r>
        <w:rPr>
          <w:rFonts w:ascii="Consolas" w:cs="Consolas" w:eastAsia="Consolas" w:hAnsi="Consolas"/>
          <w:sz w:val="18"/>
          <w:szCs w:val="18"/>
        </w:rPr>
        <w:t xml:space="preserve">  "window_end": "2026-11-02T15:02:00Z",</w:t>
      </w:r>
    </w:p>
    <w:p>
      <w:pPr>
        <w:shd w:fill="F2F2F2" w:color="auto" w:val="clear"/>
        <w:spacing w:after="0" w:line="240" w:lineRule="auto"/>
        <w:ind w:left="200" w:right="200"/>
      </w:pPr>
      <w:r>
        <w:rPr>
          <w:rFonts w:ascii="Consolas" w:cs="Consolas" w:eastAsia="Consolas" w:hAnsi="Consolas"/>
          <w:sz w:val="18"/>
          <w:szCs w:val="18"/>
        </w:rPr>
        <w:t xml:space="preserve">  "received_at": "2026-11-02T15:02:07Z",</w:t>
      </w:r>
    </w:p>
    <w:p>
      <w:pPr>
        <w:shd w:fill="F2F2F2" w:color="auto" w:val="clear"/>
        <w:spacing w:after="0" w:line="240" w:lineRule="auto"/>
        <w:ind w:left="200" w:right="200"/>
      </w:pPr>
      <w:r>
        <w:rPr>
          <w:rFonts w:ascii="Consolas" w:cs="Consolas" w:eastAsia="Consolas" w:hAnsi="Consolas"/>
          <w:sz w:val="18"/>
          <w:szCs w:val="18"/>
        </w:rPr>
        <w:t xml:space="preserve">  "readings": [</w:t>
      </w:r>
    </w:p>
    <w:p>
      <w:pPr>
        <w:shd w:fill="F2F2F2" w:color="auto" w:val="clear"/>
        <w:spacing w:after="0" w:line="240" w:lineRule="auto"/>
        <w:ind w:left="200" w:right="200"/>
      </w:pPr>
      <w:r>
        <w:rPr>
          <w:rFonts w:ascii="Consolas" w:cs="Consolas" w:eastAsia="Consolas" w:hAnsi="Consolas"/>
          <w:sz w:val="18"/>
          <w:szCs w:val="18"/>
        </w:rPr>
        <w:t xml:space="preserve">    { "metric": "heart_rate", "value": 112, "unit": "bpm",</w:t>
      </w:r>
    </w:p>
    <w:p>
      <w:pPr>
        <w:shd w:fill="F2F2F2" w:color="auto" w:val="clear"/>
        <w:spacing w:after="0" w:line="240" w:lineRule="auto"/>
        <w:ind w:left="200" w:right="200"/>
      </w:pPr>
      <w:r>
        <w:rPr>
          <w:rFonts w:ascii="Consolas" w:cs="Consolas" w:eastAsia="Consolas" w:hAnsi="Consolas"/>
          <w:sz w:val="18"/>
          <w:szCs w:val="18"/>
        </w:rPr>
        <w:t xml:space="preserve">      "measured_at": "2026-11-02T15:00:30Z",</w:t>
      </w:r>
    </w:p>
    <w:p>
      <w:pPr>
        <w:shd w:fill="F2F2F2" w:color="auto" w:val="clear"/>
        <w:spacing w:after="0" w:line="240" w:lineRule="auto"/>
        <w:ind w:left="200" w:right="200"/>
      </w:pPr>
      <w:r>
        <w:rPr>
          <w:rFonts w:ascii="Consolas" w:cs="Consolas" w:eastAsia="Consolas" w:hAnsi="Consolas"/>
          <w:sz w:val="18"/>
          <w:szCs w:val="18"/>
        </w:rPr>
        <w:t xml:space="preserve">      "sample_interval_s": 30, "quality": "good" },</w:t>
      </w:r>
    </w:p>
    <w:p>
      <w:pPr>
        <w:shd w:fill="F2F2F2" w:color="auto" w:val="clear"/>
        <w:spacing w:after="0" w:line="240" w:lineRule="auto"/>
        <w:ind w:left="200" w:right="200"/>
      </w:pPr>
      <w:r>
        <w:rPr>
          <w:rFonts w:ascii="Consolas" w:cs="Consolas" w:eastAsia="Consolas" w:hAnsi="Consolas"/>
          <w:sz w:val="18"/>
          <w:szCs w:val="18"/>
        </w:rPr>
        <w:t xml:space="preserve">    { "metric": "ambient_noise", "value": 64.5, "unit": "dBA",</w:t>
      </w:r>
    </w:p>
    <w:p>
      <w:pPr>
        <w:shd w:fill="F2F2F2" w:color="auto" w:val="clear"/>
        <w:spacing w:after="0" w:line="240" w:lineRule="auto"/>
        <w:ind w:left="200" w:right="200"/>
      </w:pPr>
      <w:r>
        <w:rPr>
          <w:rFonts w:ascii="Consolas" w:cs="Consolas" w:eastAsia="Consolas" w:hAnsi="Consolas"/>
          <w:sz w:val="18"/>
          <w:szCs w:val="18"/>
        </w:rPr>
        <w:t xml:space="preserve">      "measured_at": "2026-11-02T15:00:30Z",</w:t>
      </w:r>
    </w:p>
    <w:p>
      <w:pPr>
        <w:shd w:fill="F2F2F2" w:color="auto" w:val="clear"/>
        <w:spacing w:after="0" w:line="240" w:lineRule="auto"/>
        <w:ind w:left="200" w:right="200"/>
      </w:pPr>
      <w:r>
        <w:rPr>
          <w:rFonts w:ascii="Consolas" w:cs="Consolas" w:eastAsia="Consolas" w:hAnsi="Consolas"/>
          <w:sz w:val="18"/>
          <w:szCs w:val="18"/>
        </w:rPr>
        <w:t xml:space="preserve">      "sample_interval_s": 30, "quality": "good" }</w:t>
      </w:r>
    </w:p>
    <w:p>
      <w:pPr>
        <w:shd w:fill="F2F2F2" w:color="auto" w:val="clear"/>
        <w:spacing w:after="0" w:line="240" w:lineRule="auto"/>
        <w:ind w:left="200" w:right="200"/>
      </w:pPr>
      <w:r>
        <w:rPr>
          <w:rFonts w:ascii="Consolas" w:cs="Consolas" w:eastAsia="Consolas" w:hAnsi="Consolas"/>
          <w:sz w:val="18"/>
          <w:szCs w:val="18"/>
        </w:rPr>
        <w:t xml:space="preserve">  ],</w:t>
      </w:r>
    </w:p>
    <w:p>
      <w:pPr>
        <w:shd w:fill="F2F2F2" w:color="auto" w:val="clear"/>
        <w:spacing w:after="0" w:line="240" w:lineRule="auto"/>
        <w:ind w:left="200" w:right="200"/>
      </w:pPr>
      <w:r>
        <w:rPr>
          <w:rFonts w:ascii="Consolas" w:cs="Consolas" w:eastAsia="Consolas" w:hAnsi="Consolas"/>
          <w:sz w:val="18"/>
          <w:szCs w:val="18"/>
        </w:rPr>
        <w:t xml:space="preserve">  "raw_payload_ref": "raw/2026/11/02/6f1c2a9e.json"</w:t>
      </w:r>
    </w:p>
    <w:p>
      <w:pPr>
        <w:shd w:fill="F2F2F2" w:color="auto" w:val="clear"/>
        <w:spacing w:after="0" w:line="240" w:lineRule="auto"/>
        <w:ind w:left="200" w:right="200"/>
      </w:pPr>
      <w:r>
        <w:rPr>
          <w:rFonts w:ascii="Consolas" w:cs="Consolas" w:eastAsia="Consolas" w:hAnsi="Consolas"/>
          <w:sz w:val="18"/>
          <w:szCs w:val="18"/>
        </w:rPr>
        <w:t xml:space="preserve">}</w:t>
      </w:r>
    </w:p>
    <w:p>
      <w:pPr>
        <w:spacing w:after="120"/>
      </w:pPr>
    </w:p>
    <w:p>
      <w:pPr>
        <w:pStyle w:val="Heading2"/>
        <w:spacing w:after="80" w:before="240"/>
      </w:pPr>
      <w:r>
        <w:rPr>
          <w:rFonts w:ascii="Calibri" w:cs="Calibri" w:eastAsia="Calibri" w:hAnsi="Calibri"/>
        </w:rPr>
        <w:t xml:space="preserve">9.4 Rules</w:t>
      </w:r>
    </w:p>
    <w:p>
      <w:pPr>
        <w:pStyle w:val="ListParagraph"/>
        <w:numPr>
          <w:ilvl w:val="0"/>
          <w:numId w:val="2"/>
        </w:numPr>
        <w:spacing w:after="60"/>
      </w:pPr>
      <w:r>
        <w:rPr>
          <w:rFonts w:ascii="Calibri" w:cs="Calibri" w:eastAsia="Calibri" w:hAnsi="Calibri"/>
        </w:rPr>
        <w:t xml:space="preserve">All timestamps are ISO 8601 in UTC; the UI converts to the organization’s time zone</w:t>
      </w:r>
    </w:p>
    <w:p>
      <w:pPr>
        <w:pStyle w:val="ListParagraph"/>
        <w:numPr>
          <w:ilvl w:val="0"/>
          <w:numId w:val="2"/>
        </w:numPr>
        <w:spacing w:after="60"/>
      </w:pPr>
      <w:r>
        <w:rPr>
          <w:rFonts w:ascii="Calibri" w:cs="Calibri" w:eastAsia="Calibri" w:hAnsi="Calibri"/>
        </w:rPr>
        <w:t xml:space="preserve">Each metric uses one fixed unit; vendor units are converted by the adapter</w:t>
      </w:r>
    </w:p>
    <w:p>
      <w:pPr>
        <w:pStyle w:val="ListParagraph"/>
        <w:numPr>
          <w:ilvl w:val="0"/>
          <w:numId w:val="2"/>
        </w:numPr>
        <w:spacing w:after="60"/>
      </w:pPr>
      <w:r>
        <w:rPr>
          <w:rFonts w:ascii="Calibri" w:cs="Calibri" w:eastAsia="Calibri" w:hAnsi="Calibri"/>
        </w:rPr>
        <w:t xml:space="preserve">Readings outside the session window are discarded</w:t>
      </w:r>
    </w:p>
    <w:p>
      <w:pPr>
        <w:pStyle w:val="ListParagraph"/>
        <w:numPr>
          <w:ilvl w:val="0"/>
          <w:numId w:val="2"/>
        </w:numPr>
        <w:spacing w:after="60"/>
      </w:pPr>
      <w:r>
        <w:rPr>
          <w:rFonts w:ascii="Calibri" w:cs="Calibri" w:eastAsia="Calibri" w:hAnsi="Calibri"/>
        </w:rPr>
        <w:t xml:space="preserve">Duplicate readings (same device, metric, and measured_at) are ignored</w:t>
      </w:r>
    </w:p>
    <w:p>
      <w:pPr>
        <w:pStyle w:val="ListParagraph"/>
        <w:numPr>
          <w:ilvl w:val="0"/>
          <w:numId w:val="2"/>
        </w:numPr>
        <w:spacing w:after="60"/>
      </w:pPr>
      <w:r>
        <w:rPr>
          <w:rFonts w:ascii="Calibri" w:cs="Calibri" w:eastAsia="Calibri" w:hAnsi="Calibri"/>
        </w:rPr>
        <w:t xml:space="preserve">Missing or low-quality readings are flagged, never interpolated</w:t>
      </w:r>
    </w:p>
    <w:p>
      <w:pPr>
        <w:pStyle w:val="ListParagraph"/>
        <w:numPr>
          <w:ilvl w:val="0"/>
          <w:numId w:val="2"/>
        </w:numPr>
        <w:spacing w:after="60"/>
      </w:pPr>
      <w:r>
        <w:rPr>
          <w:rFonts w:ascii="Calibri" w:cs="Calibri" w:eastAsia="Calibri" w:hAnsi="Calibri"/>
        </w:rPr>
        <w:t xml:space="preserve">The vendor’s original payload is stored unchanged and separately from normalized data (Section 13.3)</w:t>
      </w:r>
    </w:p>
    <w:p>
      <w:pPr>
        <w:pStyle w:val="ListParagraph"/>
        <w:numPr>
          <w:ilvl w:val="0"/>
          <w:numId w:val="2"/>
        </w:numPr>
        <w:spacing w:after="60"/>
      </w:pPr>
      <w:r>
        <w:rPr>
          <w:rFonts w:ascii="Calibri" w:cs="Calibri" w:eastAsia="Calibri" w:hAnsi="Calibri"/>
        </w:rPr>
        <w:t xml:space="preserve">Batches with an unknown session, organization, or device are rejected and logged</w:t>
      </w:r>
    </w:p>
    <w:p>
      <w:pPr>
        <w:pStyle w:val="Heading1"/>
        <w:spacing w:after="120" w:before="360"/>
      </w:pPr>
      <w:r>
        <w:rPr>
          <w:rFonts w:ascii="Calibri" w:cs="Calibri" w:eastAsia="Calibri" w:hAnsi="Calibri"/>
        </w:rPr>
        <w:t xml:space="preserve">10. Success Metrics</w:t>
      </w:r>
    </w:p>
    <w:p>
      <w:pPr>
        <w:pStyle w:val="Heading2"/>
        <w:spacing w:after="80" w:before="240"/>
      </w:pPr>
      <w:r>
        <w:rPr>
          <w:rFonts w:ascii="Calibri" w:cs="Calibri" w:eastAsia="Calibri" w:hAnsi="Calibri"/>
        </w:rPr>
        <w:t xml:space="preserve">Product Metrics</w:t>
      </w:r>
    </w:p>
    <w:p>
      <w:pPr>
        <w:pStyle w:val="ListParagraph"/>
        <w:numPr>
          <w:ilvl w:val="0"/>
          <w:numId w:val="2"/>
        </w:numPr>
        <w:spacing w:after="60"/>
      </w:pPr>
      <w:r>
        <w:rPr>
          <w:rFonts w:ascii="Calibri" w:cs="Calibri" w:eastAsia="Calibri" w:hAnsi="Calibri"/>
        </w:rPr>
        <w:t xml:space="preserve">Weekly active therapists</w:t>
      </w:r>
    </w:p>
    <w:p>
      <w:pPr>
        <w:pStyle w:val="ListParagraph"/>
        <w:numPr>
          <w:ilvl w:val="0"/>
          <w:numId w:val="2"/>
        </w:numPr>
        <w:spacing w:after="60"/>
      </w:pPr>
      <w:r>
        <w:rPr>
          <w:rFonts w:ascii="Calibri" w:cs="Calibri" w:eastAsia="Calibri" w:hAnsi="Calibri"/>
        </w:rPr>
        <w:t xml:space="preserve">Sessions monitored per week</w:t>
      </w:r>
    </w:p>
    <w:p>
      <w:pPr>
        <w:pStyle w:val="ListParagraph"/>
        <w:numPr>
          <w:ilvl w:val="0"/>
          <w:numId w:val="2"/>
        </w:numPr>
        <w:spacing w:after="60"/>
      </w:pPr>
      <w:r>
        <w:rPr>
          <w:rFonts w:ascii="Calibri" w:cs="Calibri" w:eastAsia="Calibri" w:hAnsi="Calibri"/>
        </w:rPr>
        <w:t xml:space="preserve">Alert interaction rate</w:t>
      </w:r>
    </w:p>
    <w:p>
      <w:pPr>
        <w:pStyle w:val="ListParagraph"/>
        <w:numPr>
          <w:ilvl w:val="0"/>
          <w:numId w:val="2"/>
        </w:numPr>
        <w:spacing w:after="60"/>
      </w:pPr>
      <w:r>
        <w:rPr>
          <w:rFonts w:ascii="Calibri" w:cs="Calibri" w:eastAsia="Calibri" w:hAnsi="Calibri"/>
        </w:rPr>
        <w:t xml:space="preserve">Session summary usage</w:t>
      </w:r>
    </w:p>
    <w:p>
      <w:pPr>
        <w:pStyle w:val="Heading2"/>
        <w:spacing w:after="80" w:before="240"/>
      </w:pPr>
      <w:r>
        <w:rPr>
          <w:rFonts w:ascii="Calibri" w:cs="Calibri" w:eastAsia="Calibri" w:hAnsi="Calibri"/>
        </w:rPr>
        <w:t xml:space="preserve">Clinical Adoption Signals</w:t>
      </w:r>
    </w:p>
    <w:p>
      <w:pPr>
        <w:pStyle w:val="ListParagraph"/>
        <w:numPr>
          <w:ilvl w:val="0"/>
          <w:numId w:val="2"/>
        </w:numPr>
        <w:spacing w:after="60"/>
      </w:pPr>
      <w:r>
        <w:rPr>
          <w:rFonts w:ascii="Calibri" w:cs="Calibri" w:eastAsia="Calibri" w:hAnsi="Calibri"/>
        </w:rPr>
        <w:t xml:space="preserve">Therapist-reported usefulness</w:t>
      </w:r>
    </w:p>
    <w:p>
      <w:pPr>
        <w:pStyle w:val="ListParagraph"/>
        <w:numPr>
          <w:ilvl w:val="0"/>
          <w:numId w:val="2"/>
        </w:numPr>
        <w:spacing w:after="60"/>
      </w:pPr>
      <w:r>
        <w:rPr>
          <w:rFonts w:ascii="Calibri" w:cs="Calibri" w:eastAsia="Calibri" w:hAnsi="Calibri"/>
        </w:rPr>
        <w:t xml:space="preserve">Reduced manual documentation effort</w:t>
      </w:r>
    </w:p>
    <w:p>
      <w:pPr>
        <w:pStyle w:val="ListParagraph"/>
        <w:numPr>
          <w:ilvl w:val="0"/>
          <w:numId w:val="2"/>
        </w:numPr>
        <w:spacing w:after="60"/>
      </w:pPr>
      <w:r>
        <w:rPr>
          <w:rFonts w:ascii="Calibri" w:cs="Calibri" w:eastAsia="Calibri" w:hAnsi="Calibri"/>
        </w:rPr>
        <w:t xml:space="preserve">Supervisor usage of summaries</w:t>
      </w:r>
    </w:p>
    <w:p>
      <w:pPr>
        <w:pStyle w:val="ListParagraph"/>
        <w:numPr>
          <w:ilvl w:val="0"/>
          <w:numId w:val="2"/>
        </w:numPr>
        <w:spacing w:after="60"/>
      </w:pPr>
      <w:r>
        <w:rPr>
          <w:rFonts w:ascii="Calibri" w:cs="Calibri" w:eastAsia="Calibri" w:hAnsi="Calibri"/>
        </w:rPr>
        <w:t xml:space="preserve">Perceived alert relevance (qualitative)</w:t>
      </w:r>
    </w:p>
    <w:p>
      <w:pPr>
        <w:pStyle w:val="Heading2"/>
        <w:spacing w:after="80" w:before="240"/>
      </w:pPr>
      <w:r>
        <w:rPr>
          <w:rFonts w:ascii="Calibri" w:cs="Calibri" w:eastAsia="Calibri" w:hAnsi="Calibri"/>
        </w:rPr>
        <w:t xml:space="preserve">Administration and Operations Metrics</w:t>
      </w:r>
    </w:p>
    <w:p>
      <w:pPr>
        <w:pStyle w:val="ListParagraph"/>
        <w:numPr>
          <w:ilvl w:val="0"/>
          <w:numId w:val="2"/>
        </w:numPr>
        <w:spacing w:after="60"/>
      </w:pPr>
      <w:r>
        <w:rPr>
          <w:rFonts w:ascii="Calibri" w:cs="Calibri" w:eastAsia="Calibri" w:hAnsi="Calibri"/>
        </w:rPr>
        <w:t xml:space="preserve">Time to provision or deactivate an organization user</w:t>
      </w:r>
    </w:p>
    <w:p>
      <w:pPr>
        <w:pStyle w:val="ListParagraph"/>
        <w:numPr>
          <w:ilvl w:val="0"/>
          <w:numId w:val="2"/>
        </w:numPr>
        <w:spacing w:after="60"/>
      </w:pPr>
      <w:r>
        <w:rPr>
          <w:rFonts w:ascii="Calibri" w:cs="Calibri" w:eastAsia="Calibri" w:hAnsi="Calibri"/>
        </w:rPr>
        <w:t xml:space="preserve">Client assignment and access-change success rate</w:t>
      </w:r>
    </w:p>
    <w:p>
      <w:pPr>
        <w:pStyle w:val="ListParagraph"/>
        <w:numPr>
          <w:ilvl w:val="0"/>
          <w:numId w:val="2"/>
        </w:numPr>
        <w:spacing w:after="60"/>
      </w:pPr>
      <w:r>
        <w:rPr>
          <w:rFonts w:ascii="Calibri" w:cs="Calibri" w:eastAsia="Calibri" w:hAnsi="Calibri"/>
        </w:rPr>
        <w:t xml:space="preserve">License utilization and entitlement mismatch rate</w:t>
      </w:r>
    </w:p>
    <w:p>
      <w:pPr>
        <w:pStyle w:val="ListParagraph"/>
        <w:numPr>
          <w:ilvl w:val="0"/>
          <w:numId w:val="2"/>
        </w:numPr>
        <w:spacing w:after="60"/>
      </w:pPr>
      <w:r>
        <w:rPr>
          <w:rFonts w:ascii="Calibri" w:cs="Calibri" w:eastAsia="Calibri" w:hAnsi="Calibri"/>
        </w:rPr>
        <w:t xml:space="preserve">Administrative task completion rate and audit coverage</w:t>
      </w:r>
    </w:p>
    <w:p>
      <w:pPr>
        <w:pStyle w:val="ListParagraph"/>
        <w:numPr>
          <w:ilvl w:val="0"/>
          <w:numId w:val="2"/>
        </w:numPr>
        <w:spacing w:after="60"/>
      </w:pPr>
      <w:r>
        <w:rPr>
          <w:rFonts w:ascii="Calibri" w:cs="Calibri" w:eastAsia="Calibri" w:hAnsi="Calibri"/>
        </w:rPr>
        <w:t xml:space="preserve">Platform availability, critical error rate, and mean time to acknowledge and resolve incidents</w:t>
      </w:r>
    </w:p>
    <w:p>
      <w:pPr>
        <w:spacing w:after="120"/>
      </w:pPr>
      <w:r>
        <w:rPr>
          <w:rFonts w:ascii="Calibri" w:cs="Calibri" w:eastAsia="Calibri" w:hAnsi="Calibri"/>
        </w:rPr>
        <w:t xml:space="preserve">Telehealth-specific indicators are listed in Section 18.11.</w:t>
      </w:r>
    </w:p>
    <w:p>
      <w:pPr>
        <w:pStyle w:val="Heading1"/>
        <w:spacing w:after="120" w:before="360"/>
      </w:pPr>
      <w:r>
        <w:rPr>
          <w:rFonts w:ascii="Calibri" w:cs="Calibri" w:eastAsia="Calibri" w:hAnsi="Calibri"/>
        </w:rPr>
        <w:t xml:space="preserve">11.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12.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13. Data Strategy &amp; Existing BEST Data Usage</w:t>
      </w:r>
    </w:p>
    <w:p>
      <w:pPr>
        <w:pStyle w:val="Heading2"/>
        <w:spacing w:after="80" w:before="240"/>
      </w:pPr>
      <w:r>
        <w:rPr>
          <w:rFonts w:ascii="Calibri" w:cs="Calibri" w:eastAsia="Calibri" w:hAnsi="Calibri"/>
        </w:rPr>
        <w:t xml:space="preserve">13.1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13.2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13.3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14. HIPAA Compliance &amp; Security Model</w:t>
      </w:r>
    </w:p>
    <w:p>
      <w:pPr>
        <w:pStyle w:val="Heading2"/>
        <w:spacing w:after="80" w:before="240"/>
      </w:pPr>
      <w:r>
        <w:rPr>
          <w:rFonts w:ascii="Calibri" w:cs="Calibri" w:eastAsia="Calibri" w:hAnsi="Calibri"/>
        </w:rPr>
        <w:t xml:space="preserve">14.1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14.2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14.3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15. Data Infrastructure</w:t>
      </w:r>
    </w:p>
    <w:p>
      <w:pPr>
        <w:pStyle w:val="Heading2"/>
        <w:spacing w:after="80" w:before="240"/>
      </w:pPr>
      <w:r>
        <w:rPr>
          <w:rFonts w:ascii="Calibri" w:cs="Calibri" w:eastAsia="Calibri" w:hAnsi="Calibri"/>
        </w:rPr>
        <w:t xml:space="preserve">15.1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19)</w:t>
      </w:r>
    </w:p>
    <w:p>
      <w:pPr>
        <w:pStyle w:val="Heading2"/>
        <w:spacing w:after="80" w:before="240"/>
      </w:pPr>
      <w:r>
        <w:rPr>
          <w:rFonts w:ascii="Calibri" w:cs="Calibri" w:eastAsia="Calibri" w:hAnsi="Calibri"/>
        </w:rPr>
        <w:t xml:space="preserve">15.2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16. Governance, Assumptions &amp; Risks</w:t>
      </w:r>
    </w:p>
    <w:p>
      <w:pPr>
        <w:pStyle w:val="Heading2"/>
        <w:spacing w:after="80" w:before="240"/>
      </w:pPr>
      <w:r>
        <w:rPr>
          <w:rFonts w:ascii="Calibri" w:cs="Calibri" w:eastAsia="Calibri" w:hAnsi="Calibri"/>
        </w:rPr>
        <w:t xml:space="preserve">16.1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16.2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17. Administration and Back-Office Rollout Requirements</w:t>
      </w:r>
    </w:p>
    <w:p>
      <w:pPr>
        <w:pStyle w:val="Heading2"/>
        <w:spacing w:after="80" w:before="240"/>
      </w:pPr>
      <w:r>
        <w:rPr>
          <w:rFonts w:ascii="Calibri" w:cs="Calibri" w:eastAsia="Calibri" w:hAnsi="Calibri"/>
        </w:rPr>
        <w:t xml:space="preserve">17.1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17.2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17.3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17.4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18. Telehealth Sessions (Remote Session Modality)</w:t>
      </w:r>
    </w:p>
    <w:p>
      <w:pPr>
        <w:pStyle w:val="Heading2"/>
        <w:spacing w:after="80" w:before="240"/>
      </w:pPr>
      <w:r>
        <w:rPr>
          <w:rFonts w:ascii="Calibri" w:cs="Calibri" w:eastAsia="Calibri" w:hAnsi="Calibri"/>
        </w:rPr>
        <w:t xml:space="preserve">18.1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18.2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18.3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18.4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18.5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18.6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18.7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18.8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13.3.</w:t>
      </w:r>
    </w:p>
    <w:p>
      <w:pPr>
        <w:pStyle w:val="Heading2"/>
        <w:spacing w:after="80" w:before="240"/>
      </w:pPr>
      <w:r>
        <w:rPr>
          <w:rFonts w:ascii="Calibri" w:cs="Calibri" w:eastAsia="Calibri" w:hAnsi="Calibri"/>
        </w:rPr>
        <w:t xml:space="preserve">18.9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18.10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18.11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19. Environments &amp; Deployment</w:t>
      </w:r>
    </w:p>
    <w:p>
      <w:pPr>
        <w:pStyle w:val="Heading2"/>
        <w:spacing w:after="80" w:before="240"/>
      </w:pPr>
      <w:r>
        <w:rPr>
          <w:rFonts w:ascii="Calibri" w:cs="Calibri" w:eastAsia="Calibri" w:hAnsi="Calibri"/>
        </w:rPr>
        <w:t xml:space="preserve">19.1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19.2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17.4)</w:t>
            </w:r>
          </w:p>
        </w:tc>
      </w:tr>
    </w:tbl>
    <w:p>
      <w:pPr>
        <w:spacing w:after="80"/>
      </w:pPr>
    </w:p>
    <w:p>
      <w:pPr>
        <w:pStyle w:val="Heading2"/>
        <w:spacing w:after="80" w:before="240"/>
      </w:pPr>
      <w:r>
        <w:rPr>
          <w:rFonts w:ascii="Calibri" w:cs="Calibri" w:eastAsia="Calibri" w:hAnsi="Calibri"/>
        </w:rPr>
        <w:t xml:space="preserve">19.3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44353e8b1dd8a93104205e569575c57ce95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2026-10-09T11:19:42.265Z</dcterms:created>
  <dcterms:modified xsi:type="dcterms:W3CDTF">2026-10-09T11:19:42.265Z</dcterms:modified>
</cp:coreProperties>
</file>

<file path=docProps/custom.xml><?xml version="1.0" encoding="utf-8"?>
<Properties xmlns="http://schemas.openxmlformats.org/officeDocument/2006/custom-properties" xmlns:vt="http://schemas.openxmlformats.org/officeDocument/2006/docPropsVTypes"/>
</file>