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</w:pPr>
      <w:r>
        <w:rPr>
          <w:rFonts w:ascii="Calibri" w:cs="Calibri" w:eastAsia="Calibri" w:hAnsi="Calibri"/>
          <w:color w:val="1F3864"/>
          <w:sz w:val="52"/>
          <w:szCs w:val="52"/>
        </w:rPr>
        <w:t xml:space="preserve">Clinic Onboarding Flow</w:t>
      </w:r>
    </w:p>
    <w:p>
      <w:pPr>
        <w:spacing w:after="480"/>
      </w:pPr>
      <w:r>
        <w:rPr>
          <w:rFonts w:ascii="Calibri" w:cs="Calibri" w:eastAsia="Calibri" w:hAnsi="Calibri"/>
          <w:color w:val="2E74B5"/>
          <w:sz w:val="30"/>
          <w:szCs w:val="30"/>
        </w:rPr>
        <w:t xml:space="preserve">Therapy Session Monitoring &amp; Clinical Support Platform</w:t>
      </w:r>
    </w:p>
    <w:p>
      <w:pPr>
        <w:tabs>
          <w:tab w:val="left" w:pos="2000"/>
        </w:tabs>
        <w:spacing w:after="80"/>
      </w:pPr>
      <w:r>
        <w:rPr>
          <w:rFonts w:ascii="Calibri" w:cs="Calibri" w:eastAsia="Calibri" w:hAnsi="Calibri"/>
          <w:b/>
          <w:bCs/>
          <w:color w:val="595959"/>
        </w:rPr>
        <w:t xml:space="preserve">Client</w:t>
      </w:r>
      <w:r>
        <w:rPr>
          <w:rFonts w:ascii="Calibri" w:cs="Calibri" w:eastAsia="Calibri" w:hAnsi="Calibri"/>
        </w:rPr>
        <w:t xml:space="preserve">	BEST</w:t>
      </w:r>
    </w:p>
    <w:p>
      <w:pPr>
        <w:tabs>
          <w:tab w:val="left" w:pos="2000"/>
        </w:tabs>
        <w:spacing w:after="80"/>
      </w:pPr>
      <w:r>
        <w:rPr>
          <w:rFonts w:ascii="Calibri" w:cs="Calibri" w:eastAsia="Calibri" w:hAnsi="Calibri"/>
          <w:b/>
          <w:bCs/>
          <w:color w:val="595959"/>
        </w:rPr>
        <w:t xml:space="preserve">Prepared by</w:t>
      </w:r>
      <w:r>
        <w:rPr>
          <w:rFonts w:ascii="Calibri" w:cs="Calibri" w:eastAsia="Calibri" w:hAnsi="Calibri"/>
        </w:rPr>
        <w:t xml:space="preserve">	TBR Consulting</w:t>
      </w:r>
    </w:p>
    <w:p>
      <w:pPr>
        <w:tabs>
          <w:tab w:val="left" w:pos="2000"/>
        </w:tabs>
        <w:spacing w:after="80"/>
      </w:pPr>
      <w:r>
        <w:rPr>
          <w:rFonts w:ascii="Calibri" w:cs="Calibri" w:eastAsia="Calibri" w:hAnsi="Calibri"/>
          <w:b/>
          <w:bCs/>
          <w:color w:val="595959"/>
        </w:rPr>
        <w:t xml:space="preserve">Source</w:t>
      </w:r>
      <w:r>
        <w:rPr>
          <w:rFonts w:ascii="Calibri" w:cs="Calibri" w:eastAsia="Calibri" w:hAnsi="Calibri"/>
        </w:rPr>
        <w:t xml:space="preserve">	PRD version 3.0, Section 7.5</w:t>
      </w:r>
    </w:p>
    <w:p>
      <w:pPr>
        <w:tabs>
          <w:tab w:val="left" w:pos="2000"/>
        </w:tabs>
        <w:spacing w:after="80"/>
      </w:pPr>
      <w:r>
        <w:rPr>
          <w:rFonts w:ascii="Calibri" w:cs="Calibri" w:eastAsia="Calibri" w:hAnsi="Calibri"/>
          <w:b/>
          <w:bCs/>
          <w:color w:val="595959"/>
        </w:rPr>
        <w:t xml:space="preserve">Date</w:t>
      </w:r>
      <w:r>
        <w:rPr>
          <w:rFonts w:ascii="Calibri" w:cs="Calibri" w:eastAsia="Calibri" w:hAnsi="Calibri"/>
        </w:rPr>
        <w:t xml:space="preserve">	14 October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document sets out how a clinic is onboarded to the platform: the onboarding request and its approval by BEST, setup and go-live, and the clinic statuses. It matches Section 7.5 of PRD version 3.0.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2. Request and Approval</w:t>
      </w:r>
    </w:p>
    <w:p>
      <w:pPr>
        <w:keepNext/>
        <w:spacing w:after="80" w:before="160" w:line="240" w:lineRule="auto"/>
        <w:jc w:val="center"/>
      </w:pPr>
      <w:r>
        <w:drawing>
          <wp:inline distT="0" distB="0" distL="0" distR="0">
            <wp:extent cx="4762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1. Clinic onboarding: request and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BEST team shares an onboarding link with the clinic. Each link belongs to one clinic, is valid for 14 days, and can be re-sent by BEST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onboarding type is selected: Sales-assisted, where the BEST Key Account Manager fills the form on behalf of the clinic, or Self-onboarding, where the clinic fills the form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form can be saved as a draft and completed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Mandatory details: legal name, EIN, NPI, address, time zone, contact person, at least one location, and the chosen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Mandatory documents: signed Business Associate Agreement (BAA) and service agreement. Optional documents: W-9, state license, and proof of insurance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request is blocked if the EIN or NPI already belongs to an existing clinic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request is submitted for review by the BEST Platform Admin, who can approve it, reject it with a reason, or send it back for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When sent back, the reviewer's comments are shown on the form; the request can be edited and resubmitted with no 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applicant is emailed on each outcome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3. Setup and Go-Live</w:t>
      </w:r>
    </w:p>
    <w:p>
      <w:pPr>
        <w:keepNext/>
        <w:spacing w:after="80" w:before="160" w:line="240" w:lineRule="auto"/>
        <w:jc w:val="center"/>
      </w:pPr>
      <w:r>
        <w:drawing>
          <wp:inline distT="0" distB="0" distL="0" distR="0">
            <wp:extent cx="4762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2. Clinic onboarding: setup and go-live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On approval, the organization (tenant) and its locations are created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license is created from the chosen plan; Platform Admin can adjust seats and 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BEST configures the clinic: telehealth on or off and the clinical parameter values. Wearable devices are supplied by BEST and registered to the clinic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contact person named on the form is invited as Organization Admin and uses one license seat. The invite expires after 7 days and can be re-sent by BEST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Organization Admin sets a password and MFA at first login, and the clinic becomes active. Until then the clinic stays Approved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Organization Admin uploads the clinic's consent form template and can import staff and clients by CSV (optional)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4. Clinic Statuses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Draft, Submitted, Sent back, Rejected, Approved, Active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Suspended and Expired follow the license (see the license lifecycle in PRD version 3.0, Section 7.5)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BEST Clinic Onboarding Flow · For BEST review · Confidential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51cef785e5385c6ab9afd82ecc845431294b271.png"/><Relationship Id="rId9" Type="http://schemas.openxmlformats.org/officeDocument/2006/relationships/image" Target="media/c1210dbe9ebcd5697a82105c41aa51853f057d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Clinic Onboarding Flow</dc:title>
  <dc:creator>TBR Consulting</dc:creator>
  <cp:lastModifiedBy>Un-named</cp:lastModifiedBy>
  <cp:revision>1</cp:revision>
  <dcterms:created xsi:type="dcterms:W3CDTF">2026-10-14T12:28:44.019Z</dcterms:created>
  <dcterms:modified xsi:type="dcterms:W3CDTF">2026-10-14T12:28:44.019Z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