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全市政务信息化建设情况报告</w:t>
      </w:r>
    </w:p>
    <w:p>
      <w:pPr>
        <w:jc w:val="center"/>
      </w:pPr>
      <w:r>
        <w:t>—— 2026 年度工作总结</w:t>
      </w:r>
    </w:p>
    <w:p>
      <w:r>
        <w:t>市政府办公室：</w:t>
      </w:r>
    </w:p>
    <w:p>
      <w:r>
        <w:t>根据工作安排，现将全市政务信息化建设情况报告如下。</w:t>
      </w:r>
    </w:p>
    <w:p>
      <w:pPr>
        <w:pStyle w:val="Heading1"/>
      </w:pPr>
      <w:r>
        <w:t>一、基本情况</w:t>
      </w:r>
    </w:p>
    <w:p>
      <w:r>
        <w:t>全年共建成各类信息系统 37 个，覆盖政务服务、城市管理、民生保障等领域。</w:t>
      </w:r>
    </w:p>
    <w:p>
      <w:pPr>
        <w:pStyle w:val="Heading2"/>
      </w:pPr>
      <w:r>
        <w:t>（一）基础设施</w:t>
      </w:r>
    </w:p>
    <w:p>
      <w:r>
        <w:t>完成市级数据中心扩容，机架规模达到 1200 个标准机架。</w:t>
      </w:r>
    </w:p>
    <w:p>
      <w:r>
        <w:t>1. 网络层面。骨干网带宽提升至 100G。</w:t>
      </w:r>
    </w:p>
    <w:p>
      <w:r>
        <w:t>2. 算力层面。新增 GPU 算力 500 PFLOPS。</w:t>
      </w:r>
    </w:p>
    <w:p>
      <w:pPr>
        <w:pStyle w:val="Heading1"/>
      </w:pPr>
      <w:r>
        <w:t>二、存在问题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1"/>
        <w:gridCol w:w="2881"/>
        <w:gridCol w:w="2881"/>
      </w:tblGrid>
      <w:tr>
        <w:tc>
          <w:tcPr>
            <w:tcW w:type="dxa" w:w="2881"/>
          </w:tcPr>
          <w:p>
            <w:r>
              <w:t>序号</w:t>
            </w:r>
          </w:p>
        </w:tc>
        <w:tc>
          <w:tcPr>
            <w:tcW w:type="dxa" w:w="2881"/>
          </w:tcPr>
          <w:p>
            <w:r>
              <w:t>问题</w:t>
            </w:r>
          </w:p>
        </w:tc>
        <w:tc>
          <w:tcPr>
            <w:tcW w:type="dxa" w:w="2881"/>
          </w:tcPr>
          <w:p>
            <w:r>
              <w:t>责任部门</w:t>
            </w:r>
          </w:p>
        </w:tc>
      </w:tr>
      <w:tr>
        <w:tc>
          <w:tcPr>
            <w:tcW w:type="dxa" w:w="2881"/>
          </w:tcPr>
          <w:p>
            <w:r>
              <w:t>1</w:t>
            </w:r>
          </w:p>
        </w:tc>
        <w:tc>
          <w:tcPr>
            <w:tcW w:type="dxa" w:w="2881"/>
          </w:tcPr>
          <w:p>
            <w:r>
              <w:t>数据共享不畅</w:t>
            </w:r>
          </w:p>
        </w:tc>
        <w:tc>
          <w:tcPr>
            <w:tcW w:type="dxa" w:w="2881"/>
          </w:tcPr>
          <w:p>
            <w:r>
              <w:t>大数据局</w:t>
            </w:r>
          </w:p>
        </w:tc>
      </w:tr>
      <w:tr>
        <w:tc>
          <w:tcPr>
            <w:tcW w:type="dxa" w:w="2881"/>
          </w:tcPr>
          <w:p>
            <w:r>
              <w:t>2</w:t>
            </w:r>
          </w:p>
        </w:tc>
        <w:tc>
          <w:tcPr>
            <w:tcW w:type="dxa" w:w="2881"/>
          </w:tcPr>
          <w:p>
            <w:r>
              <w:t>重复建设</w:t>
            </w:r>
          </w:p>
        </w:tc>
        <w:tc>
          <w:tcPr>
            <w:tcW w:type="dxa" w:w="2881"/>
          </w:tcPr>
          <w:p>
            <w:r>
              <w:t>发改委</w:t>
            </w:r>
          </w:p>
        </w:tc>
      </w:tr>
    </w:tbl>
    <w:p>
      <w:r>
        <w:t>三、下一步打算</w:t>
      </w:r>
    </w:p>
    <w:p>
      <w:r>
        <w:t>持续推进数据资源整合，深化业务协同。</w:t>
      </w:r>
    </w:p>
    <w:p>
      <w:r>
        <w:t>附件：问题清单</w:t>
      </w:r>
    </w:p>
    <w:sectPr w:rsidR="00FC693F" w:rsidRPr="0006063C" w:rsidSect="00034616">
      <w:pgSz w:w="12240" w:h="15840"/>
      <w:pgMar w:top="1440" w:right="180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