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TRABALHO 6</w:t>
        <w:br/>
        <w:t>COPILOTO INTELIGENTE CORPORATIVO</w:t>
      </w:r>
    </w:p>
    <w:p>
      <w:pPr>
        <w:jc w:val="center"/>
      </w:pPr>
      <w:r>
        <w:rPr>
          <w:sz w:val="24"/>
        </w:rPr>
        <w:t>Aurora Tech — Entrega Final</w:t>
        <w:br/>
        <w:t>Geração de Linguagem Natural e Engenharia de Prompt</w:t>
        <w:br/>
        <w:t>PUC Minas</w:t>
      </w:r>
    </w:p>
    <w:p/>
    <w:p>
      <w:pPr>
        <w:jc w:val="center"/>
      </w:pPr>
      <w:r>
        <w:rPr>
          <w:b/>
        </w:rPr>
        <w:t>Versão final: v1.0-final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Trabalho 6 consolida a evolução do copiloto corporativo da Aurora Tech, desde a comparação de modelos e especificação do baseline até o protótipo textual, a multimodalidade, OCR, RAG, validação, fallback e suíte de 20 casos. A entrega separa explicitamente evidência automatizada local, evidência empírica com LLM real e avaliação humana, evitando tratar resultados simulados ou determinísticos como benchmark de modelo.</w:t>
      </w:r>
    </w:p>
    <w:p>
      <w:pPr>
        <w:pStyle w:val="Heading1"/>
      </w:pPr>
      <w:r>
        <w:t>2. Evolução dos Trabalhos 1 a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Trabalho</w:t>
            </w:r>
          </w:p>
        </w:tc>
        <w:tc>
          <w:tcPr>
            <w:tcW w:type="dxa" w:w="3360"/>
          </w:tcPr>
          <w:p>
            <w:r>
              <w:t>Entrega</w:t>
            </w:r>
          </w:p>
        </w:tc>
        <w:tc>
          <w:tcPr>
            <w:tcW w:type="dxa" w:w="3360"/>
          </w:tcPr>
          <w:p>
            <w:r>
              <w:t>Evolução</w:t>
            </w:r>
          </w:p>
        </w:tc>
      </w:tr>
      <w:tr>
        <w:tc>
          <w:tcPr>
            <w:tcW w:type="dxa" w:w="3360"/>
          </w:tcPr>
          <w:p>
            <w:r>
              <w:t>T1</w:t>
            </w:r>
          </w:p>
        </w:tc>
        <w:tc>
          <w:tcPr>
            <w:tcW w:type="dxa" w:w="3360"/>
          </w:tcPr>
          <w:p>
            <w:r>
              <w:t>Estudo comparativo</w:t>
            </w:r>
          </w:p>
        </w:tc>
        <w:tc>
          <w:tcPr>
            <w:tcW w:type="dxa" w:w="3360"/>
          </w:tcPr>
          <w:p>
            <w:r>
              <w:t>Claude Sonnet 5, Grok 4.5 e Gemini 3.1 Pro Preview; 12 combinações.</w:t>
            </w:r>
          </w:p>
        </w:tc>
      </w:tr>
      <w:tr>
        <w:tc>
          <w:tcPr>
            <w:tcW w:type="dxa" w:w="3360"/>
          </w:tcPr>
          <w:p>
            <w:r>
              <w:t>T2</w:t>
            </w:r>
          </w:p>
        </w:tc>
        <w:tc>
          <w:tcPr>
            <w:tcW w:type="dxa" w:w="3360"/>
          </w:tcPr>
          <w:p>
            <w:r>
              <w:t>Especificação + baseline</w:t>
            </w:r>
          </w:p>
        </w:tc>
        <w:tc>
          <w:tcPr>
            <w:tcW w:type="dxa" w:w="3360"/>
          </w:tcPr>
          <w:p>
            <w:r>
              <w:t>Caso de uso, tarefas T1/T2/T3, limites, baseline v0.1 e 7 testes iniciais.</w:t>
            </w:r>
          </w:p>
        </w:tc>
      </w:tr>
      <w:tr>
        <w:tc>
          <w:tcPr>
            <w:tcW w:type="dxa" w:w="3360"/>
          </w:tcPr>
          <w:p>
            <w:r>
              <w:t>T3</w:t>
            </w:r>
          </w:p>
        </w:tc>
        <w:tc>
          <w:tcPr>
            <w:tcW w:type="dxa" w:w="3360"/>
          </w:tcPr>
          <w:p>
            <w:r>
              <w:t>Biblioteca de prompts</w:t>
            </w:r>
          </w:p>
        </w:tc>
        <w:tc>
          <w:tcPr>
            <w:tcW w:type="dxa" w:w="3360"/>
          </w:tcPr>
          <w:p>
            <w:r>
              <w:t>Templates versionados TRH/PROMPT, pré-verificação e few-shot.</w:t>
            </w:r>
          </w:p>
        </w:tc>
      </w:tr>
      <w:tr>
        <w:tc>
          <w:tcPr>
            <w:tcW w:type="dxa" w:w="3360"/>
          </w:tcPr>
          <w:p>
            <w:r>
              <w:t>T4</w:t>
            </w:r>
          </w:p>
        </w:tc>
        <w:tc>
          <w:tcPr>
            <w:tcW w:type="dxa" w:w="3360"/>
          </w:tcPr>
          <w:p>
            <w:r>
              <w:t>Protótipo executável</w:t>
            </w:r>
          </w:p>
        </w:tc>
        <w:tc>
          <w:tcPr>
            <w:tcW w:type="dxa" w:w="3360"/>
          </w:tcPr>
          <w:p>
            <w:r>
              <w:t>Fluxo textual, roteamento, validação, retry/fallback e 13 casos.</w:t>
            </w:r>
          </w:p>
        </w:tc>
      </w:tr>
      <w:tr>
        <w:tc>
          <w:tcPr>
            <w:tcW w:type="dxa" w:w="3360"/>
          </w:tcPr>
          <w:p>
            <w:r>
              <w:t>T5</w:t>
            </w:r>
          </w:p>
        </w:tc>
        <w:tc>
          <w:tcPr>
            <w:tcW w:type="dxa" w:w="3360"/>
          </w:tcPr>
          <w:p>
            <w:r>
              <w:t>Protótipo multimodal</w:t>
            </w:r>
          </w:p>
        </w:tc>
        <w:tc>
          <w:tcPr>
            <w:tcW w:type="dxa" w:w="3360"/>
          </w:tcPr>
          <w:p>
            <w:r>
              <w:t>PDF/TXT/imagem, OCR, TF-IDF/RAG, evidências e 20 casos.</w:t>
            </w:r>
          </w:p>
        </w:tc>
      </w:tr>
    </w:tbl>
    <w:p>
      <w:pPr>
        <w:pStyle w:val="Heading1"/>
      </w:pPr>
      <w:r>
        <w:t>3. Problema, público e tarefas</w:t>
      </w:r>
    </w:p>
    <w:p>
      <w:r>
        <w:t>Público: colaboradores e gestores da Aurora Tech durante a política-piloto de trabalho híbrido.</w:t>
      </w:r>
    </w:p>
    <w:p>
      <w:pPr>
        <w:pStyle w:val="ListBullet"/>
      </w:pPr>
      <w:r>
        <w:t>T1 — Consultar regra: localizar e interpretar somente informações presentes na base, retornando resposta, regra e próximo passo.</w:t>
      </w:r>
    </w:p>
    <w:p>
      <w:pPr>
        <w:pStyle w:val="ListBullet"/>
      </w:pPr>
      <w:r>
        <w:t>T2 — Verificar situação: comparar um cenário com as condições documentadas, sem inferir o que não está definido.</w:t>
      </w:r>
    </w:p>
    <w:p>
      <w:pPr>
        <w:pStyle w:val="ListBullet"/>
      </w:pPr>
      <w:r>
        <w:t>T3 — Orientar encaminhamento: identificar necessidade de aprovação, exceção, informação ausente ou decisão humana.</w:t>
      </w:r>
    </w:p>
    <w:p>
      <w:pPr>
        <w:pStyle w:val="Heading1"/>
      </w:pPr>
      <w:r>
        <w:t>4. Escopo e limites</w:t>
      </w:r>
    </w:p>
    <w:p>
      <w:r>
        <w:t>O copiloto explica regras, interpreta situações e orienta encaminhamentos. Não aprova exceções, não altera a política, não registra exceções, não consulta dados pessoais de colaboradores e não substitui RH, gestores, Service Desk ou diretoria.</w:t>
      </w:r>
    </w:p>
    <w:p>
      <w:pPr>
        <w:pStyle w:val="Heading1"/>
      </w:pPr>
      <w:r>
        <w:t>5. Arquitetura final</w:t>
      </w:r>
    </w:p>
    <w:p>
      <w:pPr>
        <w:pStyle w:val="ListBullet"/>
      </w:pPr>
      <w:r>
        <w:t>Interface textual/multimodal → validação de entrada → extração PDF/TXT ou OCR → chunking → RAG TF-IDF → triagem TRH-04.</w:t>
      </w:r>
    </w:p>
    <w:p>
      <w:pPr>
        <w:pStyle w:val="ListBullet"/>
      </w:pPr>
      <w:r>
        <w:t>TRH-01 explica regras; TRH-02 verifica situações; TRH-03 orienta segurança.</w:t>
      </w:r>
    </w:p>
    <w:p>
      <w:pPr>
        <w:pStyle w:val="ListBullet"/>
      </w:pPr>
      <w:r>
        <w:t>Validação da saída → uma tentativa de correção → fallback seguro quando necessário.</w:t>
      </w:r>
    </w:p>
    <w:p>
      <w:pPr>
        <w:pStyle w:val="ListBullet"/>
      </w:pPr>
      <w:r>
        <w:t>Resposta com evidência/fonte, incerteza e próximo passo; casos de decisão humana são encaminhados.</w:t>
      </w:r>
    </w:p>
    <w:p>
      <w:pPr>
        <w:pStyle w:val="ListBullet"/>
      </w:pPr>
      <w:r>
        <w:t>Logs preservam evidência, versão e comportamento do fluxo.</w:t>
      </w:r>
    </w:p>
    <w:p>
      <w:pPr>
        <w:pStyle w:val="Heading1"/>
      </w:pPr>
      <w:r>
        <w:t>6. Manifesto de release</w:t>
      </w:r>
    </w:p>
    <w:p>
      <w:pPr>
        <w:pStyle w:val="ListBullet"/>
      </w:pPr>
      <w:r>
        <w:t>Versão: v1.0-final.</w:t>
      </w:r>
    </w:p>
    <w:p>
      <w:pPr>
        <w:pStyle w:val="ListBullet"/>
      </w:pPr>
      <w:r>
        <w:t>Prompts: TRH-01, TRH-02, TRH-03 e TRH-04, v1.0.</w:t>
      </w:r>
    </w:p>
    <w:p>
      <w:pPr>
        <w:pStyle w:val="ListBullet"/>
      </w:pPr>
      <w:r>
        <w:t>Base final de teste: política sintética v1.0 do Trabalho 5.</w:t>
      </w:r>
    </w:p>
    <w:p>
      <w:pPr>
        <w:pStyle w:val="ListBullet"/>
      </w:pPr>
      <w:r>
        <w:t>Multimodalidade: PDF, TXT, PNG, JPG/JPEG; OCR.</w:t>
      </w:r>
    </w:p>
    <w:p>
      <w:pPr>
        <w:pStyle w:val="ListBullet"/>
      </w:pPr>
      <w:r>
        <w:t>Recuperação: TF-IDF.</w:t>
      </w:r>
    </w:p>
    <w:p>
      <w:pPr>
        <w:pStyle w:val="ListBullet"/>
      </w:pPr>
      <w:r>
        <w:t>Suíte: 20 casos.</w:t>
      </w:r>
    </w:p>
    <w:p>
      <w:pPr>
        <w:pStyle w:val="ListBullet"/>
      </w:pPr>
      <w:r>
        <w:t>Modelo histórico de referência: Claude Sonnet 5.</w:t>
      </w:r>
    </w:p>
    <w:p>
      <w:pPr>
        <w:pStyle w:val="ListBullet"/>
      </w:pPr>
      <w:r>
        <w:t>Evidência adicional de LLM real nesta entrega: GPT-5.6 Luna.</w:t>
      </w:r>
    </w:p>
    <w:p>
      <w:pPr>
        <w:pStyle w:val="Heading1"/>
      </w:pPr>
      <w:r>
        <w:t>7. Avaliação automática da candidata v1.0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Métrica</w:t>
            </w:r>
          </w:p>
        </w:tc>
        <w:tc>
          <w:tcPr>
            <w:tcW w:type="dxa" w:w="3360"/>
          </w:tcPr>
          <w:p>
            <w:r>
              <w:t>Resultado</w:t>
            </w:r>
          </w:p>
        </w:tc>
        <w:tc>
          <w:tcPr>
            <w:tcW w:type="dxa" w:w="3360"/>
          </w:tcPr>
          <w:p>
            <w:r>
              <w:t>Meta</w:t>
            </w:r>
          </w:p>
        </w:tc>
      </w:tr>
      <w:tr>
        <w:tc>
          <w:tcPr>
            <w:tcW w:type="dxa" w:w="3360"/>
          </w:tcPr>
          <w:p>
            <w:r>
              <w:t>Taxa de sucesso</w:t>
            </w:r>
          </w:p>
        </w:tc>
        <w:tc>
          <w:tcPr>
            <w:tcW w:type="dxa" w:w="3360"/>
          </w:tcPr>
          <w:p>
            <w:r>
              <w:t>100% (20/20)</w:t>
            </w:r>
          </w:p>
        </w:tc>
        <w:tc>
          <w:tcPr>
            <w:tcW w:type="dxa" w:w="3360"/>
          </w:tcPr>
          <w:p>
            <w:r>
              <w:t>≥ 90%</w:t>
            </w:r>
          </w:p>
        </w:tc>
      </w:tr>
      <w:tr>
        <w:tc>
          <w:tcPr>
            <w:tcW w:type="dxa" w:w="3360"/>
          </w:tcPr>
          <w:p>
            <w:r>
              <w:t>Aderência ao contrato</w:t>
            </w:r>
          </w:p>
        </w:tc>
        <w:tc>
          <w:tcPr>
            <w:tcW w:type="dxa" w:w="3360"/>
          </w:tcPr>
          <w:p>
            <w:r>
              <w:t>100%</w:t>
            </w:r>
          </w:p>
        </w:tc>
        <w:tc>
          <w:tcPr>
            <w:tcW w:type="dxa" w:w="3360"/>
          </w:tcPr>
          <w:p>
            <w:r>
              <w:t>≥ 90%</w:t>
            </w:r>
          </w:p>
        </w:tc>
      </w:tr>
      <w:tr>
        <w:tc>
          <w:tcPr>
            <w:tcW w:type="dxa" w:w="3360"/>
          </w:tcPr>
          <w:p>
            <w:r>
              <w:t>Fonte em M1–M3</w:t>
            </w:r>
          </w:p>
        </w:tc>
        <w:tc>
          <w:tcPr>
            <w:tcW w:type="dxa" w:w="3360"/>
          </w:tcPr>
          <w:p>
            <w:r>
              <w:t>100%</w:t>
            </w:r>
          </w:p>
        </w:tc>
        <w:tc>
          <w:tcPr>
            <w:tcW w:type="dxa" w:w="3360"/>
          </w:tcPr>
          <w:p>
            <w:r>
              <w:t>≥ 90%</w:t>
            </w:r>
          </w:p>
        </w:tc>
      </w:tr>
      <w:tr>
        <w:tc>
          <w:tcPr>
            <w:tcW w:type="dxa" w:w="3360"/>
          </w:tcPr>
          <w:p>
            <w:r>
              <w:t>p95 local</w:t>
            </w:r>
          </w:p>
        </w:tc>
        <w:tc>
          <w:tcPr>
            <w:tcW w:type="dxa" w:w="3360"/>
          </w:tcPr>
          <w:p>
            <w:r>
              <w:t>140.268 ms</w:t>
            </w:r>
          </w:p>
        </w:tc>
        <w:tc>
          <w:tcPr>
            <w:tcW w:type="dxa" w:w="3360"/>
          </w:tcPr>
          <w:p>
            <w:r>
              <w:t>≤ 10.000 ms</w:t>
            </w:r>
          </w:p>
        </w:tc>
      </w:tr>
      <w:tr>
        <w:tc>
          <w:tcPr>
            <w:tcW w:type="dxa" w:w="3360"/>
          </w:tcPr>
          <w:p>
            <w:r>
              <w:t>Adversariais aceitos</w:t>
            </w:r>
          </w:p>
        </w:tc>
        <w:tc>
          <w:tcPr>
            <w:tcW w:type="dxa" w:w="3360"/>
          </w:tcPr>
          <w:p>
            <w:r>
              <w:t>100%</w:t>
            </w:r>
          </w:p>
        </w:tc>
        <w:tc>
          <w:tcPr>
            <w:tcW w:type="dxa" w:w="3360"/>
          </w:tcPr>
          <w:p>
            <w:r>
              <w:t>100%</w:t>
            </w:r>
          </w:p>
        </w:tc>
      </w:tr>
      <w:tr>
        <w:tc>
          <w:tcPr>
            <w:tcW w:type="dxa" w:w="3360"/>
          </w:tcPr>
          <w:p>
            <w:r>
              <w:t>Eliminatórios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Custo LLM</w:t>
            </w:r>
          </w:p>
        </w:tc>
        <w:tc>
          <w:tcPr>
            <w:tcW w:type="dxa" w:w="3360"/>
          </w:tcPr>
          <w:p>
            <w:r>
              <w:t>Não medido</w:t>
            </w:r>
          </w:p>
        </w:tc>
        <w:tc>
          <w:tcPr>
            <w:tcW w:type="dxa" w:w="3360"/>
          </w:tcPr>
          <w:p>
            <w:r>
              <w:t>A medir via API</w:t>
            </w:r>
          </w:p>
        </w:tc>
      </w:tr>
    </w:tbl>
    <w:p>
      <w:r>
        <w:t>Os resultados acima são da execução determinística local. Não são benchmark de Claude Sonnet 5 nem de outro LLM.</w:t>
      </w:r>
    </w:p>
    <w:p>
      <w:pPr>
        <w:pStyle w:val="Heading1"/>
      </w:pPr>
      <w:r>
        <w:t>8. Evidência empírica com LLM real</w:t>
      </w:r>
    </w:p>
    <w:p>
      <w:r>
        <w:t>Foi realizada uma execução real com GPT-5.6 Luna nesta sessão, usando os 20 casos e as regras da política como contexto. As respostas estão em evidencia_empirica_llm.csv. A execução demonstra comportamento real de um LLM, mas não substitui uma chamada autenticada à API do Claude Sonnet 5 e não fornece telemetria financeira ou de latência de API.</w:t>
      </w:r>
    </w:p>
    <w:p>
      <w:r>
        <w:t>Achados qualitativos: respostas factuais nos casos representativos; preservação dos limites em O1/O2; ausência de evidência em D1/D2; recusa de M4/M6/M7; resistência à instrução maliciosa em M5.</w:t>
      </w:r>
    </w:p>
    <w:p>
      <w:pPr>
        <w:pStyle w:val="Heading1"/>
      </w:pPr>
      <w:r>
        <w:t>9. Avaliação humana — 10 casos × 2 avaliadores</w:t>
      </w:r>
    </w:p>
    <w:p>
      <w:r>
        <w:t>A rubrica humana foi preparada para P1, P2, P3, P4, P5, M1, M2, M3, O1 e O2. Cada avaliador deve atribuir notas de 1 a 5 para relevância, factualidade, completude, clareza, adequação, segurança e qualidade multimodal.</w:t>
      </w:r>
    </w:p>
    <w:p>
      <w:r>
        <w:t>Esta etapa permanece pendente. Não é metodologicamente correto preencher notas de duas pessoas sem que duas pessoas tenham realizado a avaliação. A planilha avaliacao_humana_10x2.csv está pronta para coleta.</w:t>
      </w:r>
    </w:p>
    <w:p>
      <w:pPr>
        <w:pStyle w:val="Heading1"/>
      </w:pPr>
      <w:r>
        <w:t>10. Riscos e controles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Risco</w:t>
            </w:r>
          </w:p>
        </w:tc>
        <w:tc>
          <w:tcPr>
            <w:tcW w:type="dxa" w:w="3360"/>
          </w:tcPr>
          <w:p>
            <w:r>
              <w:t>Controle</w:t>
            </w:r>
          </w:p>
        </w:tc>
        <w:tc>
          <w:tcPr>
            <w:tcW w:type="dxa" w:w="3360"/>
          </w:tcPr>
          <w:p>
            <w:r>
              <w:t>Residual</w:t>
            </w:r>
          </w:p>
        </w:tc>
      </w:tr>
      <w:tr>
        <w:tc>
          <w:tcPr>
            <w:tcW w:type="dxa" w:w="3360"/>
          </w:tcPr>
          <w:p>
            <w:r>
              <w:t>Prompt injection</w:t>
            </w:r>
          </w:p>
        </w:tc>
        <w:tc>
          <w:tcPr>
            <w:tcW w:type="dxa" w:w="3360"/>
          </w:tcPr>
          <w:p>
            <w:r>
              <w:t>Arquivo tratado como dado não confiável; M5</w:t>
            </w:r>
          </w:p>
        </w:tc>
        <w:tc>
          <w:tcPr>
            <w:tcW w:type="dxa" w:w="3360"/>
          </w:tcPr>
          <w:p>
            <w:r>
              <w:t>Baixo/Médio</w:t>
            </w:r>
          </w:p>
        </w:tc>
      </w:tr>
      <w:tr>
        <w:tc>
          <w:tcPr>
            <w:tcW w:type="dxa" w:w="3360"/>
          </w:tcPr>
          <w:p>
            <w:r>
              <w:t>PII</w:t>
            </w:r>
          </w:p>
        </w:tc>
        <w:tc>
          <w:tcPr>
            <w:tcW w:type="dxa" w:w="3360"/>
          </w:tcPr>
          <w:p>
            <w:r>
              <w:t>Não solicitar/expor dados de terceiros; M7</w:t>
            </w:r>
          </w:p>
        </w:tc>
        <w:tc>
          <w:tcPr>
            <w:tcW w:type="dxa" w:w="3360"/>
          </w:tcPr>
          <w:p>
            <w:r>
              <w:t>Baixo</w:t>
            </w:r>
          </w:p>
        </w:tc>
      </w:tr>
      <w:tr>
        <w:tc>
          <w:tcPr>
            <w:tcW w:type="dxa" w:w="3360"/>
          </w:tcPr>
          <w:p>
            <w:r>
              <w:t>Ação não autorizada</w:t>
            </w:r>
          </w:p>
        </w:tc>
        <w:tc>
          <w:tcPr>
            <w:tcW w:type="dxa" w:w="3360"/>
          </w:tcPr>
          <w:p>
            <w:r>
              <w:t>Não aprovar exceções; O1</w:t>
            </w:r>
          </w:p>
        </w:tc>
        <w:tc>
          <w:tcPr>
            <w:tcW w:type="dxa" w:w="3360"/>
          </w:tcPr>
          <w:p>
            <w:r>
              <w:t>Baixo</w:t>
            </w:r>
          </w:p>
        </w:tc>
      </w:tr>
      <w:tr>
        <w:tc>
          <w:tcPr>
            <w:tcW w:type="dxa" w:w="3360"/>
          </w:tcPr>
          <w:p>
            <w:r>
              <w:t>OCR/arquivo ilegível</w:t>
            </w:r>
          </w:p>
        </w:tc>
        <w:tc>
          <w:tcPr>
            <w:tcW w:type="dxa" w:w="3360"/>
          </w:tcPr>
          <w:p>
            <w:r>
              <w:t>Validação e recusa; M4</w:t>
            </w:r>
          </w:p>
        </w:tc>
        <w:tc>
          <w:tcPr>
            <w:tcW w:type="dxa" w:w="3360"/>
          </w:tcPr>
          <w:p>
            <w:r>
              <w:t>Médio</w:t>
            </w:r>
          </w:p>
        </w:tc>
      </w:tr>
      <w:tr>
        <w:tc>
          <w:tcPr>
            <w:tcW w:type="dxa" w:w="3360"/>
          </w:tcPr>
          <w:p>
            <w:r>
              <w:t>Alucinação</w:t>
            </w:r>
          </w:p>
        </w:tc>
        <w:tc>
          <w:tcPr>
            <w:tcW w:type="dxa" w:w="3360"/>
          </w:tcPr>
          <w:p>
            <w:r>
              <w:t>RAG + ausência de evidência</w:t>
            </w:r>
          </w:p>
        </w:tc>
        <w:tc>
          <w:tcPr>
            <w:tcW w:type="dxa" w:w="3360"/>
          </w:tcPr>
          <w:p>
            <w:r>
              <w:t>Médio</w:t>
            </w:r>
          </w:p>
        </w:tc>
      </w:tr>
      <w:tr>
        <w:tc>
          <w:tcPr>
            <w:tcW w:type="dxa" w:w="3360"/>
          </w:tcPr>
          <w:p>
            <w:r>
              <w:t>Timeout/JSON inválido</w:t>
            </w:r>
          </w:p>
        </w:tc>
        <w:tc>
          <w:tcPr>
            <w:tcW w:type="dxa" w:w="3360"/>
          </w:tcPr>
          <w:p>
            <w:r>
              <w:t>Retry único + fallback</w:t>
            </w:r>
          </w:p>
        </w:tc>
        <w:tc>
          <w:tcPr>
            <w:tcW w:type="dxa" w:w="3360"/>
          </w:tcPr>
          <w:p>
            <w:r>
              <w:t>Baixo/Médio</w:t>
            </w:r>
          </w:p>
        </w:tc>
      </w:tr>
      <w:tr>
        <w:tc>
          <w:tcPr>
            <w:tcW w:type="dxa" w:w="3360"/>
          </w:tcPr>
          <w:p>
            <w:r>
              <w:t>Custo/latência</w:t>
            </w:r>
          </w:p>
        </w:tc>
        <w:tc>
          <w:tcPr>
            <w:tcW w:type="dxa" w:w="3360"/>
          </w:tcPr>
          <w:p>
            <w:r>
              <w:t>Instrumentação necessária</w:t>
            </w:r>
          </w:p>
        </w:tc>
        <w:tc>
          <w:tcPr>
            <w:tcW w:type="dxa" w:w="3360"/>
          </w:tcPr>
          <w:p>
            <w:r>
              <w:t>Médio</w:t>
            </w:r>
          </w:p>
        </w:tc>
      </w:tr>
    </w:tbl>
    <w:p>
      <w:pPr>
        <w:pStyle w:val="Heading1"/>
      </w:pPr>
      <w:r>
        <w:t>11. Seis cenas da demonstração</w:t>
      </w:r>
    </w:p>
    <w:p>
      <w:pPr>
        <w:pStyle w:val="ListBullet"/>
      </w:pPr>
      <w:r>
        <w:t>1 — Principal: P1: regra objetiva com próximo passo.</w:t>
      </w:r>
    </w:p>
    <w:p>
      <w:pPr>
        <w:pStyle w:val="ListBullet"/>
      </w:pPr>
      <w:r>
        <w:t>2 — Ambígua: A2: não inferir elegibilidade; encaminhar.</w:t>
      </w:r>
    </w:p>
    <w:p>
      <w:pPr>
        <w:pStyle w:val="ListBullet"/>
      </w:pPr>
      <w:r>
        <w:t>3 — Multimodal: M1/M3: recuperar documento/imagem e mostrar fonte.</w:t>
      </w:r>
    </w:p>
    <w:p>
      <w:pPr>
        <w:pStyle w:val="ListBullet"/>
      </w:pPr>
      <w:r>
        <w:t>4 — Fora de escopo/autoridade: O1/M7: recusar aprovação ou PII.</w:t>
      </w:r>
    </w:p>
    <w:p>
      <w:pPr>
        <w:pStyle w:val="ListBullet"/>
      </w:pPr>
      <w:r>
        <w:t>5 — Falha controlada: E1/E2: retry único e fallback.</w:t>
      </w:r>
    </w:p>
    <w:p>
      <w:pPr>
        <w:pStyle w:val="ListBullet"/>
      </w:pPr>
      <w:r>
        <w:t>6 — Revisão humana: O1: decisão de exceção é humana.</w:t>
      </w:r>
    </w:p>
    <w:p>
      <w:pPr>
        <w:pStyle w:val="Heading1"/>
      </w:pPr>
      <w:r>
        <w:t>12. Gate final</w:t>
      </w:r>
    </w:p>
    <w:p>
      <w:r>
        <w:t>APROVADO COM RESSALVAS PARA ENTREGA ACADÊMICA.</w:t>
      </w:r>
    </w:p>
    <w:p>
      <w:r>
        <w:t>A estrutura, a suíte de 20 casos, os controles e a execução local estão demonstrados. A evidência de LLM real foi adicionada, mas a avaliação humana 10×2 ainda depende de duas pessoas reais, e o custo/latência da API do modelo-alvo continuam sem medição.</w:t>
      </w:r>
    </w:p>
    <w:p>
      <w:r>
        <w:t>Aprovação acadêmica não equivale a autorização de produção. Produção exigiria dados autorizados, segurança, governança, observabilidade, responsáveis, aprovação de negócio e avaliação humana concluída.</w:t>
      </w:r>
    </w:p>
    <w:p>
      <w:pPr>
        <w:pStyle w:val="Heading1"/>
      </w:pPr>
      <w:r>
        <w:t>13. Conclusão</w:t>
      </w:r>
    </w:p>
    <w:p>
      <w:r>
        <w:t>O Trabalho 6 entrega uma solução auditável em nível de protótipo acadêmico, com rastreabilidade entre os trabalhos, entrada multimodal, recuperação de evidências, limites de autoridade, tratamento de falhas e suíte de regressão. As limitações restantes estão explicitadas em vez de serem mascaradas por resultados inventados.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