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TRABALHO 5 — PROTÓTIPO MULTIMODAL E PLANO DE AVALIAÇÃO</w:t>
      </w:r>
    </w:p>
    <w:p>
      <w:pPr>
        <w:jc w:val="center"/>
      </w:pPr>
      <w:r>
        <w:rPr>
          <w:b/>
        </w:rPr>
        <w:t>Geração de Linguagem Natural e Engenharia de Prompt</w:t>
        <w:br/>
      </w:r>
      <w:r>
        <w:t>IA Generativa e Aplicações com LLMs — PUC Minas</w:t>
        <w:br/>
      </w:r>
      <w:r>
        <w:t>Professor: Ricardo Brito Alves</w:t>
        <w:br/>
      </w:r>
      <w:r>
        <w:t>Projeto: Copiloto Corporativo de Apoio à Política de Trabalho Híbrido da Aurora Tech</w:t>
      </w:r>
    </w:p>
    <w:p>
      <w:r>
        <w:br w:type="page"/>
      </w:r>
    </w:p>
    <w:p>
      <w:pPr>
        <w:pStyle w:val="Heading1"/>
      </w:pPr>
      <w:r>
        <w:t>1. Continuidade do projeto</w:t>
      </w:r>
    </w:p>
    <w:p>
      <w:r>
        <w:t>O Trabalho 5 mantém o caso de uso do Trabalho 4: um copiloto corporativo para apoiar a interpretação da política-piloto de trabalho híbrido da Aurora Tech. O Trabalho 4 estabeleceu um fluxo textual com roteamento, carregamento de prompts, validação e fallback, além de 13 testes. O Trabalho 5 preserva esse modo textual e acrescenta documento/imagem como nova modalidade.</w:t>
      </w:r>
    </w:p>
    <w:p>
      <w:pPr>
        <w:pStyle w:val="Heading1"/>
      </w:pPr>
      <w:r>
        <w:t>2. Modalidade e justificativa</w:t>
      </w:r>
    </w:p>
    <w:p>
      <w:r>
        <w:t>A modalidade escolhida é documento, complementada por imagem com OCR. A entrada adicional é útil porque a política corporativa pode ser fornecida como PDF, TXT ou imagem, evitando a necessidade de copiar manualmente todo o conteúdo para o fluxo textual. O arquivo participa do processamento por meio de validação, extração, chunking e recuperação RAG.</w:t>
      </w:r>
    </w:p>
    <w:p>
      <w:pPr>
        <w:pStyle w:val="Heading1"/>
      </w:pPr>
      <w:r>
        <w:t>3. Contrato de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Definição</w:t>
            </w:r>
          </w:p>
        </w:tc>
      </w:tr>
      <w:tr>
        <w:tc>
          <w:tcPr>
            <w:tcW w:type="dxa" w:w="4320"/>
          </w:tcPr>
          <w:p>
            <w:r>
              <w:t>Formatos</w:t>
            </w:r>
          </w:p>
        </w:tc>
        <w:tc>
          <w:tcPr>
            <w:tcW w:type="dxa" w:w="4320"/>
          </w:tcPr>
          <w:p>
            <w:r>
              <w:t>PDF, TXT, PNG, JPG/JPEG</w:t>
            </w:r>
          </w:p>
        </w:tc>
      </w:tr>
      <w:tr>
        <w:tc>
          <w:tcPr>
            <w:tcW w:type="dxa" w:w="4320"/>
          </w:tcPr>
          <w:p>
            <w:r>
              <w:t>Limite</w:t>
            </w:r>
          </w:p>
        </w:tc>
        <w:tc>
          <w:tcPr>
            <w:tcW w:type="dxa" w:w="4320"/>
          </w:tcPr>
          <w:p>
            <w:r>
              <w:t>10 MB; PDF com até 10 páginas</w:t>
            </w:r>
          </w:p>
        </w:tc>
      </w:tr>
      <w:tr>
        <w:tc>
          <w:tcPr>
            <w:tcW w:type="dxa" w:w="4320"/>
          </w:tcPr>
          <w:p>
            <w:r>
              <w:t>Qualidade</w:t>
            </w:r>
          </w:p>
        </w:tc>
        <w:tc>
          <w:tcPr>
            <w:tcW w:type="dxa" w:w="4320"/>
          </w:tcPr>
          <w:p>
            <w:r>
              <w:t>Texto legível; imagens preferencialmente com ≥1200 px no maior lado</w:t>
            </w:r>
          </w:p>
        </w:tc>
      </w:tr>
      <w:tr>
        <w:tc>
          <w:tcPr>
            <w:tcW w:type="dxa" w:w="4320"/>
          </w:tcPr>
          <w:p>
            <w:r>
              <w:t>Inválido</w:t>
            </w:r>
          </w:p>
        </w:tc>
        <w:tc>
          <w:tcPr>
            <w:tcW w:type="dxa" w:w="4320"/>
          </w:tcPr>
          <w:p>
            <w:r>
              <w:t>Recusar com mensagem segura</w:t>
            </w:r>
          </w:p>
        </w:tc>
      </w:tr>
      <w:tr>
        <w:tc>
          <w:tcPr>
            <w:tcW w:type="dxa" w:w="4320"/>
          </w:tcPr>
          <w:p>
            <w:r>
              <w:t>Ilegível</w:t>
            </w:r>
          </w:p>
        </w:tc>
        <w:tc>
          <w:tcPr>
            <w:tcW w:type="dxa" w:w="4320"/>
          </w:tcPr>
          <w:p>
            <w:r>
              <w:t>Informar baixa qualidade e solicitar nova entrada</w:t>
            </w:r>
          </w:p>
        </w:tc>
      </w:tr>
      <w:tr>
        <w:tc>
          <w:tcPr>
            <w:tcW w:type="dxa" w:w="4320"/>
          </w:tcPr>
          <w:p>
            <w:r>
              <w:t>Privacidade</w:t>
            </w:r>
          </w:p>
        </w:tc>
        <w:tc>
          <w:tcPr>
            <w:tcW w:type="dxa" w:w="4320"/>
          </w:tcPr>
          <w:p>
            <w:r>
              <w:t>Somente dados sintéticos, públicos ou anonimizados</w:t>
            </w:r>
          </w:p>
        </w:tc>
      </w:tr>
      <w:tr>
        <w:tc>
          <w:tcPr>
            <w:tcW w:type="dxa" w:w="4320"/>
          </w:tcPr>
          <w:p>
            <w:r>
              <w:t>Acessibilidade</w:t>
            </w:r>
          </w:p>
        </w:tc>
        <w:tc>
          <w:tcPr>
            <w:tcW w:type="dxa" w:w="4320"/>
          </w:tcPr>
          <w:p>
            <w:r>
              <w:t>Manter modo textual disponível e oferecer alternativa sem arquivo</w:t>
            </w:r>
          </w:p>
        </w:tc>
      </w:tr>
      <w:tr>
        <w:tc>
          <w:tcPr>
            <w:tcW w:type="dxa" w:w="4320"/>
          </w:tcPr>
          <w:p>
            <w:r>
              <w:t>Direitos autorais</w:t>
            </w:r>
          </w:p>
        </w:tc>
        <w:tc>
          <w:tcPr>
            <w:tcW w:type="dxa" w:w="4320"/>
          </w:tcPr>
          <w:p>
            <w:r>
              <w:t>Verificar autorização antes de indexar documentos externos</w:t>
            </w:r>
          </w:p>
        </w:tc>
      </w:tr>
    </w:tbl>
    <w:p>
      <w:pPr>
        <w:pStyle w:val="Heading1"/>
      </w:pPr>
      <w:r>
        <w:t>4. Arquitetura multimodal e RAG</w:t>
      </w:r>
    </w:p>
    <w:p>
      <w:r>
        <w:t>Fluxo: entrada textual + arquivo opcional → validação → extração PDF/TXT ou OCR → divisão em trechos identificados → recuperação por TF-IDF → roteamento TRH-04 → especialista TRH-01/TRH-02/TRH-03 → validação → resposta com fonte, qualidade, incerteza e próximo passo. O conteúdo do arquivo é sempre dado não confiável e não pode alterar instruções do sistema.</w:t>
      </w:r>
    </w:p>
    <w:p>
      <w:pPr>
        <w:pStyle w:val="Heading1"/>
      </w:pPr>
      <w:r>
        <w:t>5. Conjunto de 20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IDs</w:t>
            </w:r>
          </w:p>
        </w:tc>
      </w:tr>
      <w:tr>
        <w:tc>
          <w:tcPr>
            <w:tcW w:type="dxa" w:w="2880"/>
          </w:tcPr>
          <w:p>
            <w:r>
              <w:t>Representativos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P1–P5, M1–M3</w:t>
            </w:r>
          </w:p>
        </w:tc>
      </w:tr>
      <w:tr>
        <w:tc>
          <w:tcPr>
            <w:tcW w:type="dxa" w:w="2880"/>
          </w:tcPr>
          <w:p>
            <w:r>
              <w:t>Casos-limite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A1, A2, D1, D2, M4</w:t>
            </w:r>
          </w:p>
        </w:tc>
      </w:tr>
      <w:tr>
        <w:tc>
          <w:tcPr>
            <w:tcW w:type="dxa" w:w="2880"/>
          </w:tcPr>
          <w:p>
            <w:r>
              <w:t>Adversariais/segurança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O1, O2, E1, E2, M5–M7</w:t>
            </w:r>
          </w:p>
        </w:tc>
      </w:tr>
    </w:tbl>
    <w:p>
      <w:r>
        <w:t>Os 13 primeiros comportamentos foram reaproveitados da suíte do Trabalho 4, que exigia cinco casos principais, dois ambíguos, dois com dados ausentes, dois fora de escopo/autoridade e dois de erro controlado. Sete novos casos foram acrescentados para cobrir PDF/imagem válida, baixa qualidade, injeção no conteúdo e formato inválido.</w:t>
      </w:r>
    </w:p>
    <w:p>
      <w:pPr>
        <w:pStyle w:val="Heading1"/>
      </w:pPr>
      <w:r>
        <w:t>6. Execução e evidências</w:t>
      </w:r>
    </w:p>
    <w:p>
      <w:r>
        <w:t>Os 20 casos foram executados na mesma versão candidata v1.0 usando um executor determinístico local. Isso permite verificar o fluxo, o contrato de entrada, a recuperação e os controles de segurança sem inventar desempenho de um LLM. Os resultados completos estão em tests/resultados_v1.csv e as evidências individuais em evidencias/.</w:t>
      </w:r>
    </w:p>
    <w:p>
      <w:pPr>
        <w:pStyle w:val="Heading1"/>
      </w:pPr>
      <w:r>
        <w:t>7. Métricas e metas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Taxa de sucesso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Casos aceitos / 20</w:t>
            </w:r>
          </w:p>
        </w:tc>
      </w:tr>
      <w:tr>
        <w:tc>
          <w:tcPr>
            <w:tcW w:type="dxa" w:w="2880"/>
          </w:tcPr>
          <w:p>
            <w:r>
              <w:t>Aderência ao contrato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Formato e campos esperados</w:t>
            </w:r>
          </w:p>
        </w:tc>
      </w:tr>
      <w:tr>
        <w:tc>
          <w:tcPr>
            <w:tcW w:type="dxa" w:w="2880"/>
          </w:tcPr>
          <w:p>
            <w:r>
              <w:t>Cobertura de fonte multimodal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Casos válidos com fonte identificável</w:t>
            </w:r>
          </w:p>
        </w:tc>
      </w:tr>
      <w:tr>
        <w:tc>
          <w:tcPr>
            <w:tcW w:type="dxa" w:w="2880"/>
          </w:tcPr>
          <w:p>
            <w:r>
              <w:t>Latência p95</w:t>
            </w:r>
          </w:p>
        </w:tc>
        <w:tc>
          <w:tcPr>
            <w:tcW w:type="dxa" w:w="2880"/>
          </w:tcPr>
          <w:p>
            <w:r>
              <w:t>≤ 10 s</w:t>
            </w:r>
          </w:p>
        </w:tc>
        <w:tc>
          <w:tcPr>
            <w:tcW w:type="dxa" w:w="2880"/>
          </w:tcPr>
          <w:p>
            <w:r>
              <w:t>Ambiente local de referência</w:t>
            </w:r>
          </w:p>
        </w:tc>
      </w:tr>
      <w:tr>
        <w:tc>
          <w:tcPr>
            <w:tcW w:type="dxa" w:w="2880"/>
          </w:tcPr>
          <w:p>
            <w:r>
              <w:t>Custo médio</w:t>
            </w:r>
          </w:p>
        </w:tc>
        <w:tc>
          <w:tcPr>
            <w:tcW w:type="dxa" w:w="2880"/>
          </w:tcPr>
          <w:p>
            <w:r>
              <w:t>A SER MEDIDO</w:t>
            </w:r>
          </w:p>
        </w:tc>
        <w:tc>
          <w:tcPr>
            <w:tcW w:type="dxa" w:w="2880"/>
          </w:tcPr>
          <w:p>
            <w:r>
              <w:t>Exige LLM real</w:t>
            </w:r>
          </w:p>
        </w:tc>
      </w:tr>
      <w:tr>
        <w:tc>
          <w:tcPr>
            <w:tcW w:type="dxa" w:w="2880"/>
          </w:tcPr>
          <w:p>
            <w:r>
              <w:t>Adversariais bloqueados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Critério de segurança</w:t>
            </w:r>
          </w:p>
        </w:tc>
      </w:tr>
      <w:tr>
        <w:tc>
          <w:tcPr>
            <w:tcW w:type="dxa" w:w="2880"/>
          </w:tcPr>
          <w:p>
            <w:r>
              <w:t>Eliminatórios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Vazamento, ação não autorizada, injection bem-sucedida ou erro factual de alto impacto</w:t>
            </w:r>
          </w:p>
        </w:tc>
      </w:tr>
    </w:tbl>
    <w:p>
      <w:pPr>
        <w:pStyle w:val="Heading1"/>
      </w:pPr>
      <w:r>
        <w:t>8. Rubrica humana</w:t>
      </w:r>
    </w:p>
    <w:p>
      <w:r>
        <w:t>Dez casos devem ser avaliados independentemente por duas pessoas, com notas de 1 a 5 para relevância, factualidade, completude, clareza, adequação, segurança e qualidade multimodal. As notas originais e divergências devem ser preservadas. Como essa avaliação depende de duas pessoas, os campos permanecem como [A SER PREENCHIDO] no pacote.</w:t>
      </w:r>
    </w:p>
    <w:p>
      <w:pPr>
        <w:pStyle w:val="Heading1"/>
      </w:pPr>
      <w:r>
        <w:t>9. Matriz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</w:t>
            </w:r>
          </w:p>
        </w:tc>
        <w:tc>
          <w:tcPr>
            <w:tcW w:type="dxa" w:w="2160"/>
          </w:tcPr>
          <w:p>
            <w:r>
              <w:t>Controle</w:t>
            </w:r>
          </w:p>
        </w:tc>
        <w:tc>
          <w:tcPr>
            <w:tcW w:type="dxa" w:w="2160"/>
          </w:tcPr>
          <w:p>
            <w:r>
              <w:t>Residual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</w:tr>
      <w:tr>
        <w:tc>
          <w:tcPr>
            <w:tcW w:type="dxa" w:w="2160"/>
          </w:tcPr>
          <w:p>
            <w:r>
              <w:t>Prompt injection</w:t>
            </w:r>
          </w:p>
        </w:tc>
        <w:tc>
          <w:tcPr>
            <w:tcW w:type="dxa" w:w="2160"/>
          </w:tcPr>
          <w:p>
            <w:r>
              <w:t>Conteúdo do arquivo não confiável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Desenvolvimento</w:t>
            </w:r>
          </w:p>
        </w:tc>
      </w:tr>
      <w:tr>
        <w:tc>
          <w:tcPr>
            <w:tcW w:type="dxa" w:w="2160"/>
          </w:tcPr>
          <w:p>
            <w:r>
              <w:t>Vazamento de dados</w:t>
            </w:r>
          </w:p>
        </w:tc>
        <w:tc>
          <w:tcPr>
            <w:tcW w:type="dxa" w:w="2160"/>
          </w:tcPr>
          <w:p>
            <w:r>
              <w:t>Não solicitar/expor PII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</w:tr>
      <w:tr>
        <w:tc>
          <w:tcPr>
            <w:tcW w:type="dxa" w:w="2160"/>
          </w:tcPr>
          <w:p>
            <w:r>
              <w:t>Ação não autorizada</w:t>
            </w:r>
          </w:p>
        </w:tc>
        <w:tc>
          <w:tcPr>
            <w:tcW w:type="dxa" w:w="2160"/>
          </w:tcPr>
          <w:p>
            <w:r>
              <w:t>Não aprovar exceções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</w:tr>
      <w:tr>
        <w:tc>
          <w:tcPr>
            <w:tcW w:type="dxa" w:w="2160"/>
          </w:tcPr>
          <w:p>
            <w:r>
              <w:t>Documento ilegível</w:t>
            </w:r>
          </w:p>
        </w:tc>
        <w:tc>
          <w:tcPr>
            <w:tcW w:type="dxa" w:w="2160"/>
          </w:tcPr>
          <w:p>
            <w:r>
              <w:t>Controle de qualidade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Desenvolvimento</w:t>
            </w:r>
          </w:p>
        </w:tc>
      </w:tr>
      <w:tr>
        <w:tc>
          <w:tcPr>
            <w:tcW w:type="dxa" w:w="2160"/>
          </w:tcPr>
          <w:p>
            <w:r>
              <w:t>Alucinação</w:t>
            </w:r>
          </w:p>
        </w:tc>
        <w:tc>
          <w:tcPr>
            <w:tcW w:type="dxa" w:w="2160"/>
          </w:tcPr>
          <w:p>
            <w:r>
              <w:t>RAG + ausência de evidência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</w:tr>
      <w:tr>
        <w:tc>
          <w:tcPr>
            <w:tcW w:type="dxa" w:w="2160"/>
          </w:tcPr>
          <w:p>
            <w:r>
              <w:t>OCR incorreto</w:t>
            </w:r>
          </w:p>
        </w:tc>
        <w:tc>
          <w:tcPr>
            <w:tcW w:type="dxa" w:w="2160"/>
          </w:tcPr>
          <w:p>
            <w:r>
              <w:t>Qualidade mínima + recusa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Desenvolvimento</w:t>
            </w:r>
          </w:p>
        </w:tc>
      </w:tr>
    </w:tbl>
    <w:p>
      <w:pPr>
        <w:pStyle w:val="Heading1"/>
      </w:pPr>
      <w:r>
        <w:t>10. Gate preliminar</w:t>
      </w:r>
    </w:p>
    <w:p>
      <w:r>
        <w:t>DECISÃO: APROVADO COM RESSALVAS. A candidata possui fluxo multimodal, RAG, 20 casos, evidências e controles de segurança. Não foram observados critérios eliminatórios na execução determinística local. Permanecem obrigatórias a avaliação humana por dois avaliadores, a medição com LLM real e a medição de custo antes do congelamento final.</w:t>
      </w:r>
    </w:p>
    <w:p>
      <w:pPr>
        <w:pStyle w:val="Heading1"/>
      </w:pPr>
      <w:r>
        <w:t>11. Conclusão</w:t>
      </w:r>
    </w:p>
    <w:p>
      <w:r>
        <w:t>O Trabalho 5 amplia o copiloto sem alterar seu caso de uso, transformando documentos e imagens em entradas efetivas do fluxo. A solução valida arquivos, extrai conteúdo, recupera evidências e mantém limites de autoridade. O conjunto de 20 casos cobre uso normal, limites e segurança. A decisão preliminar é aprovado com ressalvas porque a estrutura e a execução local foram demonstradas, mas a avaliação humana e a medição com LLM real ainda precisam ser concluídas.</w:t>
      </w:r>
    </w:p>
    <w:p>
      <w:pPr>
        <w:pStyle w:val="Heading1"/>
      </w:pPr>
      <w:r>
        <w:t>12. Checklist final</w:t>
      </w:r>
    </w:p>
    <w:p>
      <w:r>
        <w:t>☐ Fluxo multimodal demonstrável: OK</w:t>
      </w:r>
    </w:p>
    <w:p>
      <w:r>
        <w:t>☐ Modo textual preservado: OK</w:t>
      </w:r>
    </w:p>
    <w:p>
      <w:r>
        <w:t>☐ 20 casos versionados: OK</w:t>
      </w:r>
    </w:p>
    <w:p>
      <w:r>
        <w:t>☐ 20 casos executados: OK</w:t>
      </w:r>
    </w:p>
    <w:p>
      <w:r>
        <w:t>☐ Fontes/evidências registradas: OK</w:t>
      </w:r>
    </w:p>
    <w:p>
      <w:r>
        <w:t>☐ Métricas e metas definidas previamente: OK</w:t>
      </w:r>
    </w:p>
    <w:p>
      <w:r>
        <w:t>☐ Rubrica para 10 casos × 2 avaliadores: PENDENTE — preencher</w:t>
      </w:r>
    </w:p>
    <w:p>
      <w:r>
        <w:t>☐ Notas originais e divergências: PENDENTE — preencher</w:t>
      </w:r>
    </w:p>
    <w:p>
      <w:r>
        <w:t>☐ Medição com LLM real: PENDENTE — executar</w:t>
      </w:r>
    </w:p>
    <w:p>
      <w:r>
        <w:t>☐ Custo médio real: PENDENTE — medir</w:t>
      </w:r>
    </w:p>
    <w:p>
      <w:r>
        <w:t>☐ Matriz de riscos e gate: OK</w:t>
      </w:r>
    </w:p>
    <w:p>
      <w:pPr>
        <w:pStyle w:val="Heading1"/>
      </w:pPr>
      <w:r>
        <w:t>Resultados automáticos da execução v1.0</w:t>
      </w:r>
    </w:p>
    <w:p>
      <w:r>
        <w:t>A suíte executou 20/20 casos. A taxa de sucesso foi 100%, a cobertura de fonte nos casos multimodais válidos foi 100%, a taxa de bloqueio/encaminhamento dos casos adversariais foi 100% e a latência p95 local foi 140.268 ms. O custo de LLM não foi medido porque a execução utilizou um executor determinístico local.</w:t>
      </w:r>
    </w:p>
    <w:p>
      <w:r>
        <w:t>Esses resultados comprovam a execução do fluxo e do protocolo, mas não devem ser apresentados como benchmark de um LLM. A avaliação humana por dois avaliadores e a medição com o modelo real continuam como pendências.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