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Пастушка и пастух</w:t>
        <w:br w:type="textWrapping"/>
        <w:t xml:space="preserve"> 1967—1971—1989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  <w:t xml:space="preserve">год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«Тоска по «настоящему», по «моему» произведению томила меня, и я ощущал в себе к нему позывы, но что это, как это — не понимал», — так рождался замысел повести «Пастух и пастушка» по словам самого Астафьева.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Идею текста Виктор Петрович вынашивал более 10 лет, затем, «совершенно обалделым и счастливым», за три дня написал черновик и принялся кропотливо шлифовать. В результате сохранилось несколько редакций повести.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Еще на ранних этапах работы Астафьев подозревал, что с публикацией текста могут возникнуть проблемы. Виктору Петровичу отказали в сначала в «Звезде», потом в «Знамени» и «Новом времени». Наконец, в 1971году, произведение напечатали в «Нашем современнике», но даже этим Астафьев не остался доволен — по его мнению, повесть вышла «ощипанной», «с отсечёнными крыльями и перебитой ногой». Виктор Петрович возвращался к тексту снова и снова, дорабатывал «любимое детище». Последняя редакция датируется 1989 годом.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«Дополняя, переписывая повесть, я всякий раз удалял бытовую упрощенность, от индивидуально-явных судеб и мыслей уходил все далее и далее к общечеловеческим»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Сам автор описал повесть как </w:t>
      </w:r>
      <w:r w:rsidDel="00000000" w:rsidR="00000000" w:rsidRPr="00000000">
        <w:rPr>
          <w:b w:val="1"/>
          <w:rtl w:val="0"/>
        </w:rPr>
        <w:t xml:space="preserve">«современную пастораль»</w:t>
      </w:r>
      <w:r w:rsidDel="00000000" w:rsidR="00000000" w:rsidRPr="00000000">
        <w:rPr>
          <w:rtl w:val="0"/>
        </w:rPr>
        <w:t xml:space="preserve">. Пастораль — пастушеская поэзия. В ней прославляется жизнь естественных людей на лоне природы в противопоставлении жизни городской. Астафьев «упаковывает» прозу о войне в поэтический жанр XVI-XVII веков. Он противопоставляет трогательные чувства и сентиментальное мироощущение с суровыми условиями войны. А кроме того, отражает важную часть «пастушеской поэзии» — тоску по светлому, идеальными, но, увы, несбыточному.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Пастораль бывает и музыкальной. В повести можно найти аллюзию на интермедию «Искренность пастушки» из оперы «Пиковая дама» П.И. Чайковского.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«Знаешь, музыка была сиреневая...  Простенькая такая, понятная и сиреневая... Я почему-то услышал сейчас ту мызыку, и как танцевали двое – они она, пастух и пастушка. Лужайка зеленая. Овечки белые. Пастух и пастушка в шкурах.  Они любили друг друга, не стыдились любви и не боялись за нее. В доверчивости они были беззащитны.  Беззащитные недоступны злу - казалось мне прежде...»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 насладиться чувственной музыкой, звучащей в тон переживаниям героев.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https://www.youtube.com/watch?v=Z21wPvywFAg&amp;ab_channel=paalvi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21wPvywFAg&amp;ab_channel=paal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