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«Прокляты и убиты»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1992 и 1994 годы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«И книга его выступила столь невозможной к привычному приятию, что общественности оставалось лучше не заметить, не слишком заметить её – либо неубедительно громить как «клевету». Перевесило первое», — так писал в своем очерке о романе Виктора Астафьева другой великий русский писатель Александр Исаевич Солженицын.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Астафьев начал писать роман в 1990 году. Он задумывал его как трехтомник, но третьей книге не суждено было появиться на свет.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«Прокляты и убиты» — роман о Великой Отечественной войне, написанный человеком, который не понаслышке знал, что такое фронт. Это текст-травма, то есть основанный на травматичном жизненном и историческом опыте.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Текст лишен героического пафоса, но преисполнен обличительного. По мысли автора, во время войны народ противостоял не только внешнему врагу, но и внутреннему — в лице правящей партии. Как настоящий «деревенщик» Астафьев становится голосом простого народа с нелегкой судьбой.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Личный опыт, помноженный на коллективную трагедию, неизбежно рождает мотивы насилия и раскаяния.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«Уже за несколько дней до праздника мне тревожно, - свидетельствует он о самочувствии накануне Дня Победы, - я не могу найти себе места, мне хочется попросить у кого-то прощенья, покаяться перед теми, кто уже сгнил на бескрайних полях России и в чужом зарубежье, молиться Богу...»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Выражаю свой болезненный опыт на бумаге, Астафьев проходил своеобразную терапию — избавлялся от тяжелого груза воспоминаний и чувств.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