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8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800"/>
        <w:tblGridChange w:id="0">
          <w:tblGrid>
            <w:gridCol w:w="9800"/>
          </w:tblGrid>
        </w:tblGridChange>
      </w:tblGrid>
      <w:tr>
        <w:trPr>
          <w:cantSplit w:val="0"/>
          <w:trHeight w:val="22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720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7200"/>
              <w:tblGridChange w:id="0">
                <w:tblGrid>
                  <w:gridCol w:w="7200"/>
                </w:tblGrid>
              </w:tblGridChange>
            </w:tblGrid>
            <w:tr>
              <w:trPr>
                <w:cantSplit w:val="0"/>
                <w:trHeight w:val="204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6c6c6c" w:space="0" w:sz="6" w:val="single"/>
                    <w:right w:color="000000" w:space="0" w:sz="0" w:val="nil"/>
                  </w:tcBorders>
                  <w:shd w:fill="auto" w:val="clear"/>
                  <w:tcMar>
                    <w:top w:w="600.0" w:type="dxa"/>
                    <w:left w:w="0.0" w:type="dxa"/>
                    <w:bottom w:w="34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spacing w:line="332.30769230769226" w:lineRule="auto"/>
                    <w:jc w:val="center"/>
                    <w:rPr>
                      <w:color w:val="222222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color w:val="e2e2e5"/>
                      <w:sz w:val="39"/>
                      <w:szCs w:val="39"/>
                      <w:rtl w:val="0"/>
                    </w:rPr>
                    <w:t xml:space="preserve">The legacy libraries and SDKs for Gemini API will no longer be updated.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04">
            <w:pPr>
              <w:jc w:val="center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center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6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740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7400"/>
              <w:tblGridChange w:id="0">
                <w:tblGrid>
                  <w:gridCol w:w="7400"/>
                </w:tblGrid>
              </w:tblGridChange>
            </w:tblGrid>
            <w:tr>
              <w:trPr>
                <w:cantSplit w:val="0"/>
                <w:trHeight w:val="1467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rPr>
                      <w:color w:val="2222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4"/>
                    <w:tblW w:w="7200.0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7200"/>
                    <w:tblGridChange w:id="0">
                      <w:tblGrid>
                        <w:gridCol w:w="7200"/>
                      </w:tblGrid>
                    </w:tblGridChange>
                  </w:tblGrid>
                  <w:tr>
                    <w:trPr>
                      <w:cantSplit w:val="0"/>
                      <w:trHeight w:val="13645" w:hRule="atLeast"/>
                      <w:tblHeader w:val="0"/>
                    </w:trPr>
                    <w:tc>
                      <w:tcPr>
                        <w:tcBorders>
                          <w:top w:color="000000" w:space="0" w:sz="0" w:val="nil"/>
                          <w:left w:color="000000" w:space="0" w:sz="0" w:val="nil"/>
                          <w:bottom w:color="000000" w:space="0" w:sz="0" w:val="nil"/>
                          <w:right w:color="000000" w:space="0" w:sz="0" w:val="nil"/>
                        </w:tcBorders>
                        <w:shd w:fill="auto" w:val="clear"/>
                        <w:tcMar>
                          <w:top w:w="34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08">
                        <w:pPr>
                          <w:spacing w:after="220" w:before="220" w:line="360" w:lineRule="auto"/>
                          <w:rPr>
                            <w:rFonts w:ascii="Roboto" w:cs="Roboto" w:eastAsia="Roboto" w:hAnsi="Roboto"/>
                            <w:color w:val="e2e2e5"/>
                            <w:sz w:val="23"/>
                            <w:szCs w:val="23"/>
                          </w:rPr>
                        </w:pPr>
                        <w:r w:rsidDel="00000000" w:rsidR="00000000" w:rsidRPr="00000000">
                          <w:rPr>
                            <w:rFonts w:ascii="Roboto" w:cs="Roboto" w:eastAsia="Roboto" w:hAnsi="Roboto"/>
                            <w:color w:val="455a64"/>
                            <w:sz w:val="23"/>
                            <w:szCs w:val="23"/>
                            <w:rtl w:val="0"/>
                          </w:rPr>
                          <w:t xml:space="preserve">Dear Jesús</w:t>
                        </w:r>
                        <w:r w:rsidDel="00000000" w:rsidR="00000000" w:rsidRPr="00000000">
                          <w:rPr>
                            <w:rFonts w:ascii="Roboto" w:cs="Roboto" w:eastAsia="Roboto" w:hAnsi="Roboto"/>
                            <w:color w:val="e2e2e5"/>
                            <w:sz w:val="23"/>
                            <w:szCs w:val="23"/>
                            <w:rtl w:val="0"/>
                          </w:rPr>
                          <w:t xml:space="preserve">,</w:t>
                        </w:r>
                      </w:p>
                      <w:p w:rsidR="00000000" w:rsidDel="00000000" w:rsidP="00000000" w:rsidRDefault="00000000" w:rsidRPr="00000000" w14:paraId="00000009">
                        <w:pPr>
                          <w:spacing w:after="220" w:before="220" w:line="360" w:lineRule="auto"/>
                          <w:rPr>
                            <w:rFonts w:ascii="Roboto" w:cs="Roboto" w:eastAsia="Roboto" w:hAnsi="Roboto"/>
                            <w:color w:val="e2e2e5"/>
                            <w:sz w:val="23"/>
                            <w:szCs w:val="23"/>
                          </w:rPr>
                        </w:pPr>
                        <w:r w:rsidDel="00000000" w:rsidR="00000000" w:rsidRPr="00000000">
                          <w:rPr>
                            <w:rFonts w:ascii="Roboto" w:cs="Roboto" w:eastAsia="Roboto" w:hAnsi="Roboto"/>
                            <w:color w:val="e2e2e5"/>
                            <w:sz w:val="23"/>
                            <w:szCs w:val="23"/>
                            <w:rtl w:val="0"/>
                          </w:rPr>
                          <w:t xml:space="preserve">You’re receiving this communication because you’re using a </w:t>
                        </w:r>
                        <w:hyperlink r:id="rId6">
                          <w:r w:rsidDel="00000000" w:rsidR="00000000" w:rsidRPr="00000000">
                            <w:rPr>
                              <w:rFonts w:ascii="Roboto" w:cs="Roboto" w:eastAsia="Roboto" w:hAnsi="Roboto"/>
                              <w:color w:val="1155cc"/>
                              <w:sz w:val="23"/>
                              <w:szCs w:val="23"/>
                              <w:u w:val="single"/>
                              <w:rtl w:val="0"/>
                            </w:rPr>
                            <w:t xml:space="preserve">legacy library</w:t>
                          </w:r>
                        </w:hyperlink>
                        <w:r w:rsidDel="00000000" w:rsidR="00000000" w:rsidRPr="00000000">
                          <w:rPr>
                            <w:rFonts w:ascii="Roboto" w:cs="Roboto" w:eastAsia="Roboto" w:hAnsi="Roboto"/>
                            <w:color w:val="e2e2e5"/>
                            <w:sz w:val="23"/>
                            <w:szCs w:val="23"/>
                            <w:rtl w:val="0"/>
                          </w:rPr>
                          <w:t xml:space="preserve"> to access the </w:t>
                        </w:r>
                        <w:r w:rsidDel="00000000" w:rsidR="00000000" w:rsidRPr="00000000">
                          <w:rPr>
                            <w:rFonts w:ascii="Roboto" w:cs="Roboto" w:eastAsia="Roboto" w:hAnsi="Roboto"/>
                            <w:b w:val="1"/>
                            <w:color w:val="e2e2e5"/>
                            <w:sz w:val="23"/>
                            <w:szCs w:val="23"/>
                            <w:rtl w:val="0"/>
                          </w:rPr>
                          <w:t xml:space="preserve">Gemini API</w:t>
                        </w:r>
                        <w:r w:rsidDel="00000000" w:rsidR="00000000" w:rsidRPr="00000000">
                          <w:rPr>
                            <w:rFonts w:ascii="Roboto" w:cs="Roboto" w:eastAsia="Roboto" w:hAnsi="Roboto"/>
                            <w:color w:val="e2e2e5"/>
                            <w:sz w:val="23"/>
                            <w:szCs w:val="23"/>
                            <w:rtl w:val="0"/>
                          </w:rPr>
                          <w:t xml:space="preserve">.</w:t>
                        </w:r>
                      </w:p>
                      <w:p w:rsidR="00000000" w:rsidDel="00000000" w:rsidP="00000000" w:rsidRDefault="00000000" w:rsidRPr="00000000" w14:paraId="0000000A">
                        <w:pPr>
                          <w:spacing w:after="220" w:before="220" w:line="360" w:lineRule="auto"/>
                          <w:rPr>
                            <w:rFonts w:ascii="Roboto" w:cs="Roboto" w:eastAsia="Roboto" w:hAnsi="Roboto"/>
                            <w:color w:val="e2e2e5"/>
                            <w:sz w:val="23"/>
                            <w:szCs w:val="23"/>
                          </w:rPr>
                        </w:pPr>
                        <w:r w:rsidDel="00000000" w:rsidR="00000000" w:rsidRPr="00000000">
                          <w:rPr>
                            <w:rFonts w:ascii="Roboto" w:cs="Roboto" w:eastAsia="Roboto" w:hAnsi="Roboto"/>
                            <w:color w:val="e2e2e5"/>
                            <w:sz w:val="23"/>
                            <w:szCs w:val="23"/>
                            <w:rtl w:val="0"/>
                          </w:rPr>
                          <w:t xml:space="preserve">We’re writing to let you know that in order to access new features, bug fixes, and long-term support, you’ll need to migrate your projects to the </w:t>
                        </w:r>
                        <w:hyperlink r:id="rId7">
                          <w:r w:rsidDel="00000000" w:rsidR="00000000" w:rsidRPr="00000000">
                            <w:rPr>
                              <w:rFonts w:ascii="Roboto" w:cs="Roboto" w:eastAsia="Roboto" w:hAnsi="Roboto"/>
                              <w:b w:val="1"/>
                              <w:color w:val="1155cc"/>
                              <w:sz w:val="23"/>
                              <w:szCs w:val="23"/>
                              <w:u w:val="single"/>
                              <w:rtl w:val="0"/>
                            </w:rPr>
                            <w:t xml:space="preserve">Google GenAI SDK</w:t>
                          </w:r>
                        </w:hyperlink>
                        <w:r w:rsidDel="00000000" w:rsidR="00000000" w:rsidRPr="00000000">
                          <w:rPr>
                            <w:rFonts w:ascii="Roboto" w:cs="Roboto" w:eastAsia="Roboto" w:hAnsi="Roboto"/>
                            <w:color w:val="e2e2e5"/>
                            <w:sz w:val="23"/>
                            <w:szCs w:val="23"/>
                            <w:rtl w:val="0"/>
                          </w:rPr>
                          <w:t xml:space="preserve">.</w:t>
                        </w:r>
                      </w:p>
                      <w:p w:rsidR="00000000" w:rsidDel="00000000" w:rsidP="00000000" w:rsidRDefault="00000000" w:rsidRPr="00000000" w14:paraId="0000000B">
                        <w:pPr>
                          <w:spacing w:after="220" w:before="220" w:line="360" w:lineRule="auto"/>
                          <w:rPr>
                            <w:rFonts w:ascii="Roboto" w:cs="Roboto" w:eastAsia="Roboto" w:hAnsi="Roboto"/>
                            <w:color w:val="e2e2e5"/>
                            <w:sz w:val="23"/>
                            <w:szCs w:val="23"/>
                          </w:rPr>
                        </w:pPr>
                        <w:r w:rsidDel="00000000" w:rsidR="00000000" w:rsidRPr="00000000">
                          <w:rPr>
                            <w:rFonts w:ascii="Roboto" w:cs="Roboto" w:eastAsia="Roboto" w:hAnsi="Roboto"/>
                            <w:color w:val="e2e2e5"/>
                            <w:sz w:val="23"/>
                            <w:szCs w:val="23"/>
                            <w:rtl w:val="0"/>
                          </w:rPr>
                          <w:t xml:space="preserve">We understand that this change can require some planning, therefore we have provided additional information below to help you with this transition.</w:t>
                        </w:r>
                      </w:p>
                      <w:p w:rsidR="00000000" w:rsidDel="00000000" w:rsidP="00000000" w:rsidRDefault="00000000" w:rsidRPr="00000000" w14:paraId="0000000C">
                        <w:pPr>
                          <w:pStyle w:val="Heading3"/>
                          <w:keepNext w:val="0"/>
                          <w:keepLines w:val="0"/>
                          <w:spacing w:before="280" w:line="360" w:lineRule="auto"/>
                          <w:rPr>
                            <w:rFonts w:ascii="Roboto" w:cs="Roboto" w:eastAsia="Roboto" w:hAnsi="Roboto"/>
                            <w:b w:val="1"/>
                            <w:color w:val="e2e2e5"/>
                            <w:sz w:val="27"/>
                            <w:szCs w:val="27"/>
                          </w:rPr>
                        </w:pPr>
                        <w:bookmarkStart w:colFirst="0" w:colLast="0" w:name="_boj2es8g8ns4" w:id="0"/>
                        <w:bookmarkEnd w:id="0"/>
                        <w:r w:rsidDel="00000000" w:rsidR="00000000" w:rsidRPr="00000000">
                          <w:rPr>
                            <w:rFonts w:ascii="Roboto" w:cs="Roboto" w:eastAsia="Roboto" w:hAnsi="Roboto"/>
                            <w:b w:val="1"/>
                            <w:color w:val="e2e2e5"/>
                            <w:sz w:val="27"/>
                            <w:szCs w:val="27"/>
                            <w:rtl w:val="0"/>
                          </w:rPr>
                          <w:t xml:space="preserve">What you need to know</w:t>
                        </w:r>
                      </w:p>
                      <w:p w:rsidR="00000000" w:rsidDel="00000000" w:rsidP="00000000" w:rsidRDefault="00000000" w:rsidRPr="00000000" w14:paraId="0000000D">
                        <w:pPr>
                          <w:spacing w:after="220" w:before="220" w:line="360" w:lineRule="auto"/>
                          <w:rPr>
                            <w:rFonts w:ascii="Roboto" w:cs="Roboto" w:eastAsia="Roboto" w:hAnsi="Roboto"/>
                            <w:color w:val="e2e2e5"/>
                            <w:sz w:val="23"/>
                            <w:szCs w:val="23"/>
                          </w:rPr>
                        </w:pPr>
                        <w:r w:rsidDel="00000000" w:rsidR="00000000" w:rsidRPr="00000000">
                          <w:rPr>
                            <w:rFonts w:ascii="Roboto" w:cs="Roboto" w:eastAsia="Roboto" w:hAnsi="Roboto"/>
                            <w:color w:val="e2e2e5"/>
                            <w:sz w:val="23"/>
                            <w:szCs w:val="23"/>
                            <w:rtl w:val="0"/>
                          </w:rPr>
                          <w:t xml:space="preserve">Since late 2024, we’ve been rolling out the Google GenAI SDK, a new set of libraries for accessing the Gemini API. These libraries, which reached General Availability (GA) in </w:t>
                        </w:r>
                        <w:r w:rsidDel="00000000" w:rsidR="00000000" w:rsidRPr="00000000">
                          <w:rPr>
                            <w:rFonts w:ascii="Roboto" w:cs="Roboto" w:eastAsia="Roboto" w:hAnsi="Roboto"/>
                            <w:b w:val="1"/>
                            <w:color w:val="e2e2e5"/>
                            <w:sz w:val="23"/>
                            <w:szCs w:val="23"/>
                            <w:rtl w:val="0"/>
                          </w:rPr>
                          <w:t xml:space="preserve">May 2025</w:t>
                        </w:r>
                        <w:r w:rsidDel="00000000" w:rsidR="00000000" w:rsidRPr="00000000">
                          <w:rPr>
                            <w:rFonts w:ascii="Roboto" w:cs="Roboto" w:eastAsia="Roboto" w:hAnsi="Roboto"/>
                            <w:color w:val="e2e2e5"/>
                            <w:sz w:val="23"/>
                            <w:szCs w:val="23"/>
                            <w:rtl w:val="0"/>
                          </w:rPr>
                          <w:t xml:space="preserve">, are now the standard and recommended way to build with Gemini.</w:t>
                        </w:r>
                      </w:p>
                      <w:p w:rsidR="00000000" w:rsidDel="00000000" w:rsidP="00000000" w:rsidRDefault="00000000" w:rsidRPr="00000000" w14:paraId="0000000E">
                        <w:pPr>
                          <w:spacing w:after="220" w:before="220" w:line="360" w:lineRule="auto"/>
                          <w:rPr>
                            <w:rFonts w:ascii="Roboto" w:cs="Roboto" w:eastAsia="Roboto" w:hAnsi="Roboto"/>
                            <w:color w:val="e2e2e5"/>
                            <w:sz w:val="23"/>
                            <w:szCs w:val="23"/>
                          </w:rPr>
                        </w:pPr>
                        <w:r w:rsidDel="00000000" w:rsidR="00000000" w:rsidRPr="00000000">
                          <w:rPr>
                            <w:rFonts w:ascii="Roboto" w:cs="Roboto" w:eastAsia="Roboto" w:hAnsi="Roboto"/>
                            <w:color w:val="e2e2e5"/>
                            <w:sz w:val="23"/>
                            <w:szCs w:val="23"/>
                            <w:rtl w:val="0"/>
                          </w:rPr>
                          <w:t xml:space="preserve">The Google GenAI SDK provides a single integration for both developers and enterprise customers, with an improved developer experience based on user feedback.</w:t>
                        </w:r>
                      </w:p>
                      <w:p w:rsidR="00000000" w:rsidDel="00000000" w:rsidP="00000000" w:rsidRDefault="00000000" w:rsidRPr="00000000" w14:paraId="0000000F">
                        <w:pPr>
                          <w:pStyle w:val="Heading3"/>
                          <w:keepNext w:val="0"/>
                          <w:keepLines w:val="0"/>
                          <w:spacing w:before="280" w:line="360" w:lineRule="auto"/>
                          <w:rPr>
                            <w:rFonts w:ascii="Roboto" w:cs="Roboto" w:eastAsia="Roboto" w:hAnsi="Roboto"/>
                            <w:b w:val="1"/>
                            <w:color w:val="e2e2e5"/>
                            <w:sz w:val="27"/>
                            <w:szCs w:val="27"/>
                          </w:rPr>
                        </w:pPr>
                        <w:bookmarkStart w:colFirst="0" w:colLast="0" w:name="_tx68vzv4doo" w:id="1"/>
                        <w:bookmarkEnd w:id="1"/>
                        <w:r w:rsidDel="00000000" w:rsidR="00000000" w:rsidRPr="00000000">
                          <w:rPr>
                            <w:rFonts w:ascii="Roboto" w:cs="Roboto" w:eastAsia="Roboto" w:hAnsi="Roboto"/>
                            <w:b w:val="1"/>
                            <w:color w:val="e2e2e5"/>
                            <w:sz w:val="27"/>
                            <w:szCs w:val="27"/>
                            <w:rtl w:val="0"/>
                          </w:rPr>
                          <w:t xml:space="preserve">What you need to do</w:t>
                        </w:r>
                      </w:p>
                      <w:p w:rsidR="00000000" w:rsidDel="00000000" w:rsidP="00000000" w:rsidRDefault="00000000" w:rsidRPr="00000000" w14:paraId="00000010">
                        <w:pPr>
                          <w:spacing w:after="220" w:before="220" w:line="360" w:lineRule="auto"/>
                          <w:rPr>
                            <w:rFonts w:ascii="Roboto" w:cs="Roboto" w:eastAsia="Roboto" w:hAnsi="Roboto"/>
                            <w:color w:val="e2e2e5"/>
                            <w:sz w:val="23"/>
                            <w:szCs w:val="23"/>
                          </w:rPr>
                        </w:pPr>
                        <w:r w:rsidDel="00000000" w:rsidR="00000000" w:rsidRPr="00000000">
                          <w:rPr>
                            <w:rFonts w:ascii="Roboto" w:cs="Roboto" w:eastAsia="Roboto" w:hAnsi="Roboto"/>
                            <w:color w:val="e2e2e5"/>
                            <w:sz w:val="23"/>
                            <w:szCs w:val="23"/>
                            <w:rtl w:val="0"/>
                          </w:rPr>
                          <w:t xml:space="preserve">To ensure you have access to the latest updates, bug fixes, and new features, we strongly recommend </w:t>
                        </w:r>
                        <w:r w:rsidDel="00000000" w:rsidR="00000000" w:rsidRPr="00000000">
                          <w:rPr>
                            <w:rFonts w:ascii="Roboto" w:cs="Roboto" w:eastAsia="Roboto" w:hAnsi="Roboto"/>
                            <w:b w:val="1"/>
                            <w:color w:val="e2e2e5"/>
                            <w:sz w:val="23"/>
                            <w:szCs w:val="23"/>
                            <w:rtl w:val="0"/>
                          </w:rPr>
                          <w:t xml:space="preserve">migrating your projects by November 30, 2025</w:t>
                        </w:r>
                        <w:r w:rsidDel="00000000" w:rsidR="00000000" w:rsidRPr="00000000">
                          <w:rPr>
                            <w:rFonts w:ascii="Roboto" w:cs="Roboto" w:eastAsia="Roboto" w:hAnsi="Roboto"/>
                            <w:color w:val="e2e2e5"/>
                            <w:sz w:val="23"/>
                            <w:szCs w:val="23"/>
                            <w:rtl w:val="0"/>
                          </w:rPr>
                          <w:t xml:space="preserve">. After this date, our legacy libraries will no longer receive updates.</w:t>
                        </w:r>
                      </w:p>
                      <w:p w:rsidR="00000000" w:rsidDel="00000000" w:rsidP="00000000" w:rsidRDefault="00000000" w:rsidRPr="00000000" w14:paraId="00000011">
                        <w:pPr>
                          <w:spacing w:after="220" w:before="220" w:line="360" w:lineRule="auto"/>
                          <w:rPr>
                            <w:rFonts w:ascii="Roboto" w:cs="Roboto" w:eastAsia="Roboto" w:hAnsi="Roboto"/>
                            <w:color w:val="e2e2e5"/>
                            <w:sz w:val="23"/>
                            <w:szCs w:val="23"/>
                          </w:rPr>
                        </w:pPr>
                        <w:r w:rsidDel="00000000" w:rsidR="00000000" w:rsidRPr="00000000">
                          <w:rPr>
                            <w:rFonts w:ascii="Roboto" w:cs="Roboto" w:eastAsia="Roboto" w:hAnsi="Roboto"/>
                            <w:color w:val="e2e2e5"/>
                            <w:sz w:val="23"/>
                            <w:szCs w:val="23"/>
                            <w:rtl w:val="0"/>
                          </w:rPr>
                          <w:t xml:space="preserve">You can find more information and migration instructions in the following developer documentation:</w:t>
                        </w:r>
                      </w:p>
                      <w:p w:rsidR="00000000" w:rsidDel="00000000" w:rsidP="00000000" w:rsidRDefault="00000000" w:rsidRPr="00000000" w14:paraId="00000012">
                        <w:pPr>
                          <w:numPr>
                            <w:ilvl w:val="0"/>
                            <w:numId w:val="1"/>
                          </w:numPr>
                          <w:spacing w:after="0" w:afterAutospacing="0" w:before="220" w:lineRule="auto"/>
                          <w:ind w:left="940" w:hanging="360"/>
                        </w:pPr>
                        <w:r w:rsidDel="00000000" w:rsidR="00000000" w:rsidRPr="00000000">
                          <w:rPr>
                            <w:rFonts w:ascii="Roboto" w:cs="Roboto" w:eastAsia="Roboto" w:hAnsi="Roboto"/>
                            <w:color w:val="e2e2e5"/>
                            <w:sz w:val="23"/>
                            <w:szCs w:val="23"/>
                            <w:rtl w:val="0"/>
                          </w:rPr>
                          <w:t xml:space="preserve">Refer to our </w:t>
                        </w:r>
                        <w:hyperlink r:id="rId8">
                          <w:r w:rsidDel="00000000" w:rsidR="00000000" w:rsidRPr="00000000">
                            <w:rPr>
                              <w:rFonts w:ascii="Roboto" w:cs="Roboto" w:eastAsia="Roboto" w:hAnsi="Roboto"/>
                              <w:color w:val="1155cc"/>
                              <w:sz w:val="23"/>
                              <w:szCs w:val="23"/>
                              <w:u w:val="single"/>
                              <w:rtl w:val="0"/>
                            </w:rPr>
                            <w:t xml:space="preserve">libraries page</w:t>
                          </w:r>
                        </w:hyperlink>
                        <w:r w:rsidDel="00000000" w:rsidR="00000000" w:rsidRPr="00000000">
                          <w:rPr>
                            <w:rFonts w:ascii="Roboto" w:cs="Roboto" w:eastAsia="Roboto" w:hAnsi="Roboto"/>
                            <w:color w:val="e2e2e5"/>
                            <w:sz w:val="23"/>
                            <w:szCs w:val="23"/>
                            <w:rtl w:val="0"/>
                          </w:rPr>
                          <w:t xml:space="preserve"> for more information on the Google GenAI SDK and legacy libraries</w:t>
                        </w:r>
                      </w:p>
                      <w:p w:rsidR="00000000" w:rsidDel="00000000" w:rsidP="00000000" w:rsidRDefault="00000000" w:rsidRPr="00000000" w14:paraId="00000013">
                        <w:pPr>
                          <w:numPr>
                            <w:ilvl w:val="0"/>
                            <w:numId w:val="1"/>
                          </w:numPr>
                          <w:spacing w:after="220" w:before="0" w:beforeAutospacing="0" w:lineRule="auto"/>
                          <w:ind w:left="940" w:hanging="360"/>
                        </w:pPr>
                        <w:r w:rsidDel="00000000" w:rsidR="00000000" w:rsidRPr="00000000">
                          <w:rPr>
                            <w:rFonts w:ascii="Roboto" w:cs="Roboto" w:eastAsia="Roboto" w:hAnsi="Roboto"/>
                            <w:color w:val="e2e2e5"/>
                            <w:sz w:val="23"/>
                            <w:szCs w:val="23"/>
                            <w:rtl w:val="0"/>
                          </w:rPr>
                          <w:t xml:space="preserve">Follow these </w:t>
                        </w:r>
                        <w:hyperlink r:id="rId9">
                          <w:r w:rsidDel="00000000" w:rsidR="00000000" w:rsidRPr="00000000">
                            <w:rPr>
                              <w:rFonts w:ascii="Roboto" w:cs="Roboto" w:eastAsia="Roboto" w:hAnsi="Roboto"/>
                              <w:color w:val="1155cc"/>
                              <w:sz w:val="23"/>
                              <w:szCs w:val="23"/>
                              <w:u w:val="single"/>
                              <w:rtl w:val="0"/>
                            </w:rPr>
                            <w:t xml:space="preserve">migration instructions</w:t>
                          </w:r>
                        </w:hyperlink>
                        <w:r w:rsidDel="00000000" w:rsidR="00000000" w:rsidRPr="00000000">
                          <w:rPr>
                            <w:rFonts w:ascii="Roboto" w:cs="Roboto" w:eastAsia="Roboto" w:hAnsi="Roboto"/>
                            <w:color w:val="e2e2e5"/>
                            <w:sz w:val="23"/>
                            <w:szCs w:val="23"/>
                            <w:rtl w:val="0"/>
                          </w:rPr>
                          <w:t xml:space="preserve"> to transition your projects</w:t>
                        </w:r>
                      </w:p>
                      <w:p w:rsidR="00000000" w:rsidDel="00000000" w:rsidP="00000000" w:rsidRDefault="00000000" w:rsidRPr="00000000" w14:paraId="00000014">
                        <w:pPr>
                          <w:spacing w:after="220" w:before="220" w:line="360" w:lineRule="auto"/>
                          <w:rPr>
                            <w:rFonts w:ascii="Roboto" w:cs="Roboto" w:eastAsia="Roboto" w:hAnsi="Roboto"/>
                            <w:color w:val="e2e2e5"/>
                            <w:sz w:val="23"/>
                            <w:szCs w:val="23"/>
                          </w:rPr>
                        </w:pPr>
                        <w:r w:rsidDel="00000000" w:rsidR="00000000" w:rsidRPr="00000000">
                          <w:rPr>
                            <w:rFonts w:ascii="Roboto" w:cs="Roboto" w:eastAsia="Roboto" w:hAnsi="Roboto"/>
                            <w:color w:val="e2e2e5"/>
                            <w:sz w:val="23"/>
                            <w:szCs w:val="23"/>
                            <w:rtl w:val="0"/>
                          </w:rPr>
                          <w:t xml:space="preserve">If you run into issues and need further guidance, you can post on our </w:t>
                        </w:r>
                        <w:hyperlink r:id="rId10">
                          <w:r w:rsidDel="00000000" w:rsidR="00000000" w:rsidRPr="00000000">
                            <w:rPr>
                              <w:rFonts w:ascii="Roboto" w:cs="Roboto" w:eastAsia="Roboto" w:hAnsi="Roboto"/>
                              <w:color w:val="1155cc"/>
                              <w:sz w:val="23"/>
                              <w:szCs w:val="23"/>
                              <w:u w:val="single"/>
                              <w:rtl w:val="0"/>
                            </w:rPr>
                            <w:t xml:space="preserve">discussion forums</w:t>
                          </w:r>
                        </w:hyperlink>
                        <w:r w:rsidDel="00000000" w:rsidR="00000000" w:rsidRPr="00000000">
                          <w:rPr>
                            <w:rFonts w:ascii="Roboto" w:cs="Roboto" w:eastAsia="Roboto" w:hAnsi="Roboto"/>
                            <w:color w:val="e2e2e5"/>
                            <w:sz w:val="23"/>
                            <w:szCs w:val="23"/>
                            <w:rtl w:val="0"/>
                          </w:rPr>
                          <w:t xml:space="preserve">.</w:t>
                        </w:r>
                      </w:p>
                      <w:p w:rsidR="00000000" w:rsidDel="00000000" w:rsidP="00000000" w:rsidRDefault="00000000" w:rsidRPr="00000000" w14:paraId="00000015">
                        <w:pPr>
                          <w:spacing w:after="220" w:before="220" w:line="360" w:lineRule="auto"/>
                          <w:rPr>
                            <w:rFonts w:ascii="Roboto" w:cs="Roboto" w:eastAsia="Roboto" w:hAnsi="Roboto"/>
                            <w:color w:val="e2e2e5"/>
                            <w:sz w:val="23"/>
                            <w:szCs w:val="23"/>
                          </w:rPr>
                        </w:pPr>
                        <w:r w:rsidDel="00000000" w:rsidR="00000000" w:rsidRPr="00000000">
                          <w:rPr>
                            <w:rFonts w:ascii="Roboto" w:cs="Roboto" w:eastAsia="Roboto" w:hAnsi="Roboto"/>
                            <w:color w:val="e2e2e5"/>
                            <w:sz w:val="23"/>
                            <w:szCs w:val="23"/>
                            <w:rtl w:val="0"/>
                          </w:rPr>
                          <w:t xml:space="preserve">Thanks for choosing and building with the Gemini API.</w:t>
                        </w:r>
                      </w:p>
                    </w:tc>
                  </w:tr>
                  <w:tr>
                    <w:trPr>
                      <w:cantSplit w:val="0"/>
                      <w:trHeight w:val="1130" w:hRule="atLeast"/>
                      <w:tblHeader w:val="0"/>
                    </w:trPr>
                    <w:tc>
                      <w:tcPr>
                        <w:tcBorders>
                          <w:top w:color="000000" w:space="0" w:sz="0" w:val="nil"/>
                          <w:left w:color="000000" w:space="0" w:sz="0" w:val="nil"/>
                          <w:bottom w:color="000000" w:space="0" w:sz="0" w:val="nil"/>
                          <w:right w:color="000000" w:space="0" w:sz="0" w:val="nil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16">
                        <w:pPr>
                          <w:rPr>
                            <w:color w:val="222222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tbl>
                        <w:tblPr>
                          <w:tblStyle w:val="Table5"/>
                          <w:tblW w:w="2135.0" w:type="dxa"/>
                          <w:jc w:val="left"/>
                          <w:tblBorders>
                            <w:top w:color="000000" w:space="0" w:sz="0" w:val="nil"/>
                            <w:left w:color="000000" w:space="0" w:sz="0" w:val="nil"/>
                            <w:bottom w:color="000000" w:space="0" w:sz="0" w:val="nil"/>
                            <w:right w:color="000000" w:space="0" w:sz="0" w:val="nil"/>
                            <w:insideH w:color="000000" w:space="0" w:sz="0" w:val="nil"/>
                            <w:insideV w:color="000000" w:space="0" w:sz="0" w:val="nil"/>
                          </w:tblBorders>
                          <w:tblLayout w:type="fixed"/>
                          <w:tblLook w:val="0600"/>
                        </w:tblPr>
                        <w:tblGrid>
                          <w:gridCol w:w="2135"/>
                          <w:tblGridChange w:id="0">
                            <w:tblGrid>
                              <w:gridCol w:w="2135"/>
                            </w:tblGrid>
                          </w:tblGridChange>
                        </w:tblGrid>
                        <w:tr>
                          <w:trPr>
                            <w:cantSplit w:val="0"/>
                            <w:trHeight w:val="930" w:hRule="atLeast"/>
                            <w:tblHeader w:val="0"/>
                          </w:trPr>
                          <w:tc>
                            <w:tcPr>
                              <w:tcBorders>
                                <w:top w:color="000000" w:space="0" w:sz="0" w:val="nil"/>
                                <w:left w:color="000000" w:space="0" w:sz="0" w:val="nil"/>
                                <w:bottom w:color="000000" w:space="0" w:sz="0" w:val="nil"/>
                                <w:right w:color="000000" w:space="0" w:sz="0" w:val="nil"/>
                              </w:tcBorders>
                              <w:shd w:fill="auto" w:val="clear"/>
                              <w:tcMar>
                                <w:top w:w="240.0" w:type="dxa"/>
                                <w:left w:w="100.0" w:type="dxa"/>
                                <w:bottom w:w="340.0" w:type="dxa"/>
                                <w:right w:w="10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17">
                              <w:pPr>
                                <w:spacing w:after="220" w:before="220" w:line="360" w:lineRule="auto"/>
                                <w:rPr>
                                  <w:rFonts w:ascii="Roboto" w:cs="Roboto" w:eastAsia="Roboto" w:hAnsi="Roboto"/>
                                  <w:b w:val="1"/>
                                  <w:color w:val="e2e2e5"/>
                                  <w:sz w:val="23"/>
                                  <w:szCs w:val="23"/>
                                </w:rPr>
                              </w:pPr>
                              <w:r w:rsidDel="00000000" w:rsidR="00000000" w:rsidRPr="00000000">
                                <w:rPr>
                                  <w:rFonts w:ascii="Roboto" w:cs="Roboto" w:eastAsia="Roboto" w:hAnsi="Roboto"/>
                                  <w:b w:val="1"/>
                                  <w:color w:val="e2e2e5"/>
                                  <w:sz w:val="23"/>
                                  <w:szCs w:val="23"/>
                                  <w:rtl w:val="0"/>
                                </w:rPr>
                                <w:t xml:space="preserve">— Gemini API team</w:t>
                              </w:r>
                            </w:p>
                          </w:tc>
                        </w:tr>
                      </w:tbl>
                      <w:p w:rsidR="00000000" w:rsidDel="00000000" w:rsidP="00000000" w:rsidRDefault="00000000" w:rsidRPr="00000000" w14:paraId="00000018">
                        <w:pPr>
                          <w:rPr>
                            <w:color w:val="222222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19">
                  <w:pPr>
                    <w:jc w:val="center"/>
                    <w:rPr>
                      <w:color w:val="2222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A">
            <w:pPr>
              <w:jc w:val="center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e2e2e5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0f1012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c.gle/ANiao5qvNv9h4WzC0llM1HCvfhLA8dC11PAH60IMpu5zpWixQyxKlJoOgmiLSDsTue-y3J5r0tkr4PBsVtRVcspijEsDzIyNMeGqwoKSBT4x5QSV9vZ4-u-FFdbh_Q0PMni2XNfhlsRSxKQpoA" TargetMode="External"/><Relationship Id="rId9" Type="http://schemas.openxmlformats.org/officeDocument/2006/relationships/hyperlink" Target="https://c.gle/ANiao5oFK4Ek9KOH9qwJ_tCUyqpGbUQxlGECA8gW5p6LXmxSkbqtd05TYgEM6Pzj0qepcJ758K0WUb3sRQADHpXagxiWmEJ0lCpeigqdlp3D0t27y4sA04OiH2DcbgapeCmee6RNcXw_wemr_RY" TargetMode="External"/><Relationship Id="rId5" Type="http://schemas.openxmlformats.org/officeDocument/2006/relationships/styles" Target="styles.xml"/><Relationship Id="rId6" Type="http://schemas.openxmlformats.org/officeDocument/2006/relationships/hyperlink" Target="https://c.gle/ANiao5pYX767skbVQWAgA_L7lNmNFY2u42whFSZwRLyV7yf6l4ggUJgbuK_lkwZ_YjbVa31gHnCvCppWpM1PAT6NFK5Dt-xDsoumwB0eKL5SVjRrs2RDlK2vTSbQDQkJMU5RNfpxdP1aMQwLSuBmr17IZApNgT5wtjuw-EYT" TargetMode="External"/><Relationship Id="rId7" Type="http://schemas.openxmlformats.org/officeDocument/2006/relationships/hyperlink" Target="https://c.gle/ANiao5pyxJ8zBnK9GoZ-yN2ctufc0ML-Ts8t4GDBg5c3mMRqEtTPSFRswUTPEOt4wzOXuYEhJkHoxabrNyV7F6ZEYTEAU5ebMCG0EN86xwR7YUZSCsWWy1uS9RSctB35OTaGbTCKo4HZS98ppXwK1A" TargetMode="External"/><Relationship Id="rId8" Type="http://schemas.openxmlformats.org/officeDocument/2006/relationships/hyperlink" Target="https://c.gle/ANiao5pyxJ8zBnK9GoZ-yN2ctufc0ML-Ts8t4GDBg5c3mMRqEtTPSFRswUTPEOt4wzOXuYEhJkHoxabrNyV7F6ZEYTEAU5ebMCG0EN86xwR7YUZSCsWWy1uS9RSctB35OTaGbTCKo4HZS98ppXwK1A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