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Biologiczne i kliniczne determinanty szczytowej płodności kobiet: Kompleksowa analiza zależności wieku od potencjału prokreacyjnego</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Ewolucyjna konstrukcja ludzkiego układu rozrodczego wykazuje unikalną asymetrię temp starzenia się poszczególnych układów narządowych, przy czym system reprodukcyjny kobiet ulega degradacji funkcjonalnej znacznie szybciej niż jakikolwiek inny organ w ciele.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Zrozumienie, w jakim wieku kobiety osiągają szczyt swojej płodności, wymaga precyzyjnego rozróżnienia między płodnością (zdolnością do urodzenia żywego dziecka) a płodnością biologiczną, często określaną w demografii i medycynie jako płodność potencjalna lub </w:t>
      </w:r>
      <w:r w:rsidDel="00000000" w:rsidR="00000000" w:rsidRPr="00000000">
        <w:rPr>
          <w:rFonts w:ascii="Google Sans" w:cs="Google Sans" w:eastAsia="Google Sans" w:hAnsi="Google Sans"/>
          <w:color w:val="1f1f1f"/>
        </w:rPr>
        <w:drawing>
          <wp:inline distB="19050" distT="19050" distL="19050" distR="19050">
            <wp:extent cx="1114720" cy="22866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14720" cy="2286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oznaczająca miesięczne prawdopodobieństwo poczęcia.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Analiza danych medycznych jednoznacznie wskazuje, że okres maksymalnego potencjału rozrodczego przypada na wczesną dorosłość, po czym następuje stopniowa, a w czwartej dekadzie życia drastyczna, utrata zdolności prokreacyjnych.</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Definicja szczytu płodności: Okno optymalnego wieku prokreacyjnego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Z biologicznego punktu widzenia szczyt płodności u kobiet występuje między 20. a 25. rokiem życia.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Niektóre badania uszczegóławiają ten zakres do przedziału 20–24 lata jako absolutnego optimum płodności.</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W tym okresie organizm wykazuje najwyższą sprawność hormonalną, regularność cykli owulacyjnych oraz, co najistotniejsze, najwyższą jakość genetyczną komórek jajowych.</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Statystyczne prawdopodobieństwo zajścia w ciążę w pojedynczym cyklu miesięcznym u dwudziestolatek wynosi około 20–25%.</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Analiza płodności naturalnej w populacjach niekorzystających z antykoncepcji wykazuje, że współczynnik płodności osiąga najwyższe wartości we wczesnych latach dwudziestych, po czym następuje stały spadek.</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Wiek ten charakteryzuje się najniższym odsetkiem poronień samoistnych oraz minimalnym ryzykiem wystąpienia wad chromosomalnych u potomstwa.</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Prawdopodobieństwo poczęcia w cyklu miesięcznym według grup wiekowych</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Dla par regularnie współżyjących i dbających o optymalny czas zbliżenia w stosunku do owulacji, statystyczne szanse na uzyskanie ciąży w jednym cyklu kształtują się następująco:</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Grupa wiekowa (lata)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Szansa na zajście w ciążę w jednym cyklu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Prawdopodobieństwo ciąży po 12 cyklach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Źródła danych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19–25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26–29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~85–90%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~75–80%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35–39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40–44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&lt;1–5%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&lt;10%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20</w:t>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Wiek 30 lat stanowi często punkt zwrotny, po którym płodność zaczyna naturalnie i stopniowo się zmniejszać.</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Istotne przyspieszenie tego procesu następuje po 35. urodzinach, a po 37. roku życia spadek potencjału rozrodczego staje się znaczący.</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Fizjologiczne podłoże szczytu płodności: Rezerwa jajnikowa</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Fundamentalną przyczyną ograniczenia płodności wraz z upływem lat jest mechanizm wyczerpywania się rezerwy jajnikowej. W przeciwieństwie do gametogenezy u mężczyzn, która jest procesem ciągłym, kobieta rodzi się z definitywną i nieodnawialną pulą pęcherzyków jajnikowych.</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Chronologia redukcji pęcherzyków</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Proces starzenia się reprodukcyjnego jest de facto długotrwałym procesem atrezji (naturalnego zaniku) pęcherzyków, który rozpoczyna się jeszcze w fazie życia płodowego:</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Faza płodowa (ok. 20. tygodnia):</w:t>
      </w:r>
      <w:r w:rsidDel="00000000" w:rsidR="00000000" w:rsidRPr="00000000">
        <w:rPr>
          <w:rFonts w:ascii="Google Sans" w:cs="Google Sans" w:eastAsia="Google Sans" w:hAnsi="Google Sans"/>
          <w:color w:val="1f1f1f"/>
          <w:rtl w:val="0"/>
        </w:rPr>
        <w:t xml:space="preserve"> Liczba pęcherzyków pierwotnych osiąga maksimum, wynoszące od 6 do 7 milionów.</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Moment urodzenia:</w:t>
      </w:r>
      <w:r w:rsidDel="00000000" w:rsidR="00000000" w:rsidRPr="00000000">
        <w:rPr>
          <w:rFonts w:ascii="Google Sans" w:cs="Google Sans" w:eastAsia="Google Sans" w:hAnsi="Google Sans"/>
          <w:color w:val="1f1f1f"/>
          <w:rtl w:val="0"/>
        </w:rPr>
        <w:t xml:space="preserve"> Liczba oocytów spada do około 1–2 milionów.</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Okres dojrzewania (menarche):</w:t>
      </w:r>
      <w:r w:rsidDel="00000000" w:rsidR="00000000" w:rsidRPr="00000000">
        <w:rPr>
          <w:rFonts w:ascii="Google Sans" w:cs="Google Sans" w:eastAsia="Google Sans" w:hAnsi="Google Sans"/>
          <w:color w:val="1f1f1f"/>
          <w:rtl w:val="0"/>
        </w:rPr>
        <w:t xml:space="preserve"> Pozostaje jedynie około 300 000 – 500 000 komórek jajowych.</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Wiek rozrodczy:</w:t>
      </w:r>
      <w:r w:rsidDel="00000000" w:rsidR="00000000" w:rsidRPr="00000000">
        <w:rPr>
          <w:rFonts w:ascii="Google Sans" w:cs="Google Sans" w:eastAsia="Google Sans" w:hAnsi="Google Sans"/>
          <w:color w:val="1f1f1f"/>
          <w:rtl w:val="0"/>
        </w:rPr>
        <w:t xml:space="preserve"> W każdym cyklu miesięcznym rekrutowanych jest do wzrostu setki pęcherzyków, z których zazwyczaj tylko jeden osiąga stadium dominujące i ulega owulacji. Pozostałe podlegają apoptozie, co skutkuje utratą około 1000 komórek jajowych w każdym cyklu.</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 wieku 37 lat rezerwa jajnikowa u większości kobiet wynosi już tylko około 25 000 pęcherzyków, co koreluje z momentem gwałtownego spadku płodności klinicznej.</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W okresie okołomenopauzalnym liczba ta spada poniżej 1000, co ostatecznie prowadzi do wygaśnięcia funkcji rozrodczych.</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Markery hormonalne szczytowej płodności</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Współczesna medycyna pozwala na precyzyjne oszacowanie rezerwy jajnikowej poprzez badania hormonalne, z których najistotniejszy jest hormon anty-Müllerowski (</w:t>
      </w:r>
      <w:r w:rsidDel="00000000" w:rsidR="00000000" w:rsidRPr="00000000">
        <w:rPr>
          <w:rFonts w:ascii="Google Sans" w:cs="Google Sans" w:eastAsia="Google Sans" w:hAnsi="Google Sans"/>
          <w:color w:val="1f1f1f"/>
        </w:rPr>
        <w:drawing>
          <wp:inline distB="19050" distT="19050" distL="19050" distR="19050">
            <wp:extent cx="505569" cy="228937"/>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05569" cy="2289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oraz hormon folikulotropowy (</w:t>
      </w:r>
      <w:r w:rsidDel="00000000" w:rsidR="00000000" w:rsidRPr="00000000">
        <w:rPr>
          <w:rFonts w:ascii="Google Sans" w:cs="Google Sans" w:eastAsia="Google Sans" w:hAnsi="Google Sans"/>
          <w:color w:val="1f1f1f"/>
        </w:rPr>
        <w:drawing>
          <wp:inline distB="19050" distT="19050" distL="19050" distR="19050">
            <wp:extent cx="410468" cy="229099"/>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10468" cy="2290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AMH (Anti-Müllerian Hormone):</w:t>
      </w:r>
      <w:r w:rsidDel="00000000" w:rsidR="00000000" w:rsidRPr="00000000">
        <w:rPr>
          <w:rFonts w:ascii="Google Sans" w:cs="Google Sans" w:eastAsia="Google Sans" w:hAnsi="Google Sans"/>
          <w:color w:val="1f1f1f"/>
          <w:rtl w:val="0"/>
        </w:rPr>
        <w:t xml:space="preserve"> Produkowany przez komórki ziarniste pęcherzyków preantralnych i małych antralnych. Jego poziom odzwierciedla wielkość pozostałej puli pęcherzyków. Szczytowe stężenia </w:t>
      </w:r>
      <w:r w:rsidDel="00000000" w:rsidR="00000000" w:rsidRPr="00000000">
        <w:rPr>
          <w:rFonts w:ascii="Google Sans" w:cs="Google Sans" w:eastAsia="Google Sans" w:hAnsi="Google Sans"/>
          <w:color w:val="1f1f1f"/>
        </w:rPr>
        <w:drawing>
          <wp:inline distB="19050" distT="19050" distL="19050" distR="19050">
            <wp:extent cx="505569" cy="228937"/>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05569" cy="2289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obserwuje się we wczesnej dorosłości, co pokrywa się z wiekiem maksymalnej płodności.</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3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FSH (Follicle-Stimulating Hormone):</w:t>
      </w:r>
      <w:r w:rsidDel="00000000" w:rsidR="00000000" w:rsidRPr="00000000">
        <w:rPr>
          <w:rFonts w:ascii="Google Sans" w:cs="Google Sans" w:eastAsia="Google Sans" w:hAnsi="Google Sans"/>
          <w:color w:val="1f1f1f"/>
          <w:rtl w:val="0"/>
        </w:rPr>
        <w:t xml:space="preserve"> Wraz z wiekiem i spadkiem liczby pęcherzyków, przysadka mózgowa wydziela coraz więcej </w:t>
      </w:r>
      <w:r w:rsidDel="00000000" w:rsidR="00000000" w:rsidRPr="00000000">
        <w:rPr>
          <w:rFonts w:ascii="Google Sans" w:cs="Google Sans" w:eastAsia="Google Sans" w:hAnsi="Google Sans"/>
          <w:color w:val="1f1f1f"/>
        </w:rPr>
        <w:drawing>
          <wp:inline distB="19050" distT="19050" distL="19050" distR="19050">
            <wp:extent cx="410468" cy="229099"/>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10468" cy="2290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aby zastymulować jajniki do pracy. U kobiet w wieku 20–25 lat poziom </w:t>
      </w:r>
      <w:r w:rsidDel="00000000" w:rsidR="00000000" w:rsidRPr="00000000">
        <w:rPr>
          <w:rFonts w:ascii="Google Sans" w:cs="Google Sans" w:eastAsia="Google Sans" w:hAnsi="Google Sans"/>
          <w:color w:val="1f1f1f"/>
        </w:rPr>
        <w:drawing>
          <wp:inline distB="19050" distT="19050" distL="19050" distR="19050">
            <wp:extent cx="410468" cy="229099"/>
            <wp:effectExtent b="0" l="0" r="0" t="0"/>
            <wp:docPr id="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10468" cy="2290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jest niski i stabilny w fazie wczesnofolikularnej, co świadczy o wysokiej responsywności jajników.</w:t>
      </w:r>
      <w:r w:rsidDel="00000000" w:rsidR="00000000" w:rsidRPr="00000000">
        <w:rPr>
          <w:rFonts w:ascii="Google Sans" w:cs="Google Sans" w:eastAsia="Google Sans" w:hAnsi="Google Sans"/>
          <w:color w:val="444746"/>
          <w:sz w:val="24"/>
          <w:szCs w:val="24"/>
          <w:vertAlign w:val="superscript"/>
          <w:rtl w:val="0"/>
        </w:rPr>
        <w:t xml:space="preserve">1</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Parametr diagnostyczny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Wartości w wieku szczytowej płodności (20–25 lat)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Zmiany po 35. roku życia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Znaczenie kliniczne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AMH (ng/ml)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 4,0 – 5,4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 1,5 – 2,3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Marker ilościowy rezerwy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FSH (IU/l)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 8 – 10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 10 – 12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Marker wydolności jajników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AFC (liczba pęcherzyków)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Wysoka (np. &gt; 15–20)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Obniżona (np. &lt; 6–10)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Antral Follicle Count (USG)</w:t>
            </w:r>
          </w:p>
        </w:tc>
      </w:tr>
    </w:tbl>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Jakość oocytów: Molekularny fundament płodności dwudziestolatek</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Wiek 20–25 lat jest optymalny nie tylko ze względu na liczbę komórek jajowych, ale przede wszystkim ich jakość biologiczną. Oocyt jest komórką o unikalnej długowieczności – komórki jajowe uwalniane podczas owulacji mają tyle lat, ile sama kobieta.</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Długotrwałe przebywanie w fazie uśpienia (diktiotenie mejozy I) naraża je na uszkodzenia kumulatywne.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Stabilność aparatu genetycznego</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 kobiet w wieku szczytowym (do 30. roku życia) procesy segregacji chromosomów zachodzą z najwyższą precyzją. Wrzeciono podziałowe, odpowiedzialne za równomierne rozdzielenie materiału genetycznego, działa u nich bez zakłóceń.</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Wraz z wiekiem mechanizmy kontrolne (tzw. checkpoints) w oocycie słabną, co prowadzi do błędów w podziałach i powstawania komórek aneuploidalnych.</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7">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Aneuploidia:</w:t>
      </w:r>
      <w:r w:rsidDel="00000000" w:rsidR="00000000" w:rsidRPr="00000000">
        <w:rPr>
          <w:rFonts w:ascii="Google Sans" w:cs="Google Sans" w:eastAsia="Google Sans" w:hAnsi="Google Sans"/>
          <w:color w:val="1f1f1f"/>
          <w:rtl w:val="0"/>
        </w:rPr>
        <w:t xml:space="preserve"> Już u 30-latek odsetek nieprawidłowych genetycznie komórek jajowych dochodzi do 40%.</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48">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Wiek 40+:</w:t>
      </w:r>
      <w:r w:rsidDel="00000000" w:rsidR="00000000" w:rsidRPr="00000000">
        <w:rPr>
          <w:rFonts w:ascii="Google Sans" w:cs="Google Sans" w:eastAsia="Google Sans" w:hAnsi="Google Sans"/>
          <w:color w:val="1f1f1f"/>
          <w:rtl w:val="0"/>
        </w:rPr>
        <w:t xml:space="preserve"> Odsetek ten drastycznie rośnie, osiągając 80% u kobiet po 40. roku życia i ponad 90% u kobiet po 44. roku życia.</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Wydajność energetyczna mitochondriów</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Mitochondria w oocytach młodych kobiet charakteryzują się wysokim potencjałem błonowym i optymalną produkcją ATP, co jest niezbędne do wsparcia procesów zapłodnienia i wczesnego rozwoju zarodka przed jego zagnieżdżeniem.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Starzenie się oocytów wiąże się z akumulacją mutacji w mitochondrialnym DNA i spadkiem bioenergetyki komórki, co skutkuje częstszymi niepowodzeniami implantacji zarodka w macicy.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Statystyki niepłodności i trudności z poczęciem</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Zgodnie z definicją Światowej Organizacji Zdrowia (WHO), niepłodność to niemożność zajścia w ciążę po 12 miesiącach regularnego współżycia bez stosowania antykoncepcji.</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Problem ten dotyka obecnie około 17,5% dorosłej populacji na świecie, co oznacza, że co szósta osoba doświadcza trudności prokreacyjnych.</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Ryzyko niepłodności jest bezpośrednio skorelowane z wiekiem:</w:t>
      </w:r>
    </w:p>
    <w:p w:rsidR="00000000" w:rsidDel="00000000" w:rsidP="00000000" w:rsidRDefault="00000000" w:rsidRPr="00000000" w14:paraId="0000004E">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Wiek 20–29 lat:</w:t>
      </w:r>
      <w:r w:rsidDel="00000000" w:rsidR="00000000" w:rsidRPr="00000000">
        <w:rPr>
          <w:rFonts w:ascii="Google Sans" w:cs="Google Sans" w:eastAsia="Google Sans" w:hAnsi="Google Sans"/>
          <w:color w:val="1f1f1f"/>
          <w:rtl w:val="0"/>
        </w:rPr>
        <w:t xml:space="preserve"> Zaledwie 7% kobiet w tej grupie cierpi na niepłodność.</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4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Wiek 15–34 lata:</w:t>
      </w:r>
      <w:r w:rsidDel="00000000" w:rsidR="00000000" w:rsidRPr="00000000">
        <w:rPr>
          <w:rFonts w:ascii="Google Sans" w:cs="Google Sans" w:eastAsia="Google Sans" w:hAnsi="Google Sans"/>
          <w:color w:val="1f1f1f"/>
          <w:rtl w:val="0"/>
        </w:rPr>
        <w:t xml:space="preserve"> Ryzyko niepłodności szacuje się na poziomie 7,3–9,1%.</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5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Wiek 35–39 lat:</w:t>
      </w:r>
      <w:r w:rsidDel="00000000" w:rsidR="00000000" w:rsidRPr="00000000">
        <w:rPr>
          <w:rFonts w:ascii="Google Sans" w:cs="Google Sans" w:eastAsia="Google Sans" w:hAnsi="Google Sans"/>
          <w:color w:val="1f1f1f"/>
          <w:rtl w:val="0"/>
        </w:rPr>
        <w:t xml:space="preserve"> Częstość niepłodności gwałtownie wzrasta do 25%.</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51">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Wiek 40–44 lata:</w:t>
      </w:r>
      <w:r w:rsidDel="00000000" w:rsidR="00000000" w:rsidRPr="00000000">
        <w:rPr>
          <w:rFonts w:ascii="Google Sans" w:cs="Google Sans" w:eastAsia="Google Sans" w:hAnsi="Google Sans"/>
          <w:color w:val="1f1f1f"/>
          <w:rtl w:val="0"/>
        </w:rPr>
        <w:t xml:space="preserve"> Problem dotyczy już 30% kobiet, a niektóre badania sugerują wskaźniki sięgające nawet 37,9%.</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 Polsce z problemem niepłodności zmaga się około 1,5 miliona par.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Tendencja do odkładania macierzyństwa sprawia, że pacjentki zgłaszają się do klinik leczenia niepłodności w coraz późniejszym wieku, co znacząco obniża rokowania terapeutyczne.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Ciąża w wieku "Advanced Maternal Age" (AMA)</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Termin "Advanced Maternal Age" (starszy wiek macierzyński) odnosi się do kobiet, które zachodzą w ciążę po 35. roku życia.</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Jest to granica ustalona klinicznie ze względu na gwałtowny wzrost ryzyka powikłań medycznych, zarówno dla matki, jak i dla płodu.</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Ryzyko utraty ciąży (poronienia)</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Z wiekiem rośnie ryzyko, że rozpoznana klinicznie ciąża zakończy się poronieniem samoistnym. Główną przyczyną są wspomniane wcześniej aberracje chromosomalne płodu.</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Wiek kobiety (lata)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Ryzyko poronienia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Interpretacja ryzyka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Źródła danych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&lt; 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Wyższe ze względu na niedojrzałość biologiczną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Najniższe ryzyko (optimum)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Najniższe ryzyko (optimum)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11–12%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Stabilny, niski poziom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35–39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17–25%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Wyraźny wzrost ryzyka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40–44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33–40%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Bardzo wysokie ryzyko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57–80%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Poronienie jest najbardziej prawdopodobnym wynikiem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9</w:t>
            </w:r>
          </w:p>
        </w:tc>
      </w:tr>
    </w:tbl>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Patologie ciąży i zdrowie matki</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 starszych kobiet ciąża stanowi znacznie większe obciążenie dla organizmu, co przekłada się na wyższe wskaźniki powikłań metabolicznych i sercowo-naczyniowych.</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7A">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Cukrzyca ciążowa (GDM):</w:t>
      </w:r>
      <w:r w:rsidDel="00000000" w:rsidR="00000000" w:rsidRPr="00000000">
        <w:rPr>
          <w:rFonts w:ascii="Google Sans" w:cs="Google Sans" w:eastAsia="Google Sans" w:hAnsi="Google Sans"/>
          <w:color w:val="1f1f1f"/>
          <w:rtl w:val="0"/>
        </w:rPr>
        <w:t xml:space="preserve"> Częstość występowania </w:t>
      </w:r>
      <w:r w:rsidDel="00000000" w:rsidR="00000000" w:rsidRPr="00000000">
        <w:rPr>
          <w:rFonts w:ascii="Google Sans" w:cs="Google Sans" w:eastAsia="Google Sans" w:hAnsi="Google Sans"/>
          <w:color w:val="1f1f1f"/>
        </w:rPr>
        <w:drawing>
          <wp:inline distB="19050" distT="19050" distL="19050" distR="19050">
            <wp:extent cx="501700" cy="227185"/>
            <wp:effectExtent b="0" l="0" r="0" 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01700" cy="2271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rośnie liniowo z wiekiem. W 2021 roku w USA wskaźnik ten u kobiet 40+ wynosił 15,6%, co było wartością blisko sześciokrotnie wyższą niż u matek poniżej 20. roku życia (2,7%).</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7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Nadciśnienie indukowane ciążą i preeklampsja:</w:t>
      </w:r>
      <w:r w:rsidDel="00000000" w:rsidR="00000000" w:rsidRPr="00000000">
        <w:rPr>
          <w:rFonts w:ascii="Google Sans" w:cs="Google Sans" w:eastAsia="Google Sans" w:hAnsi="Google Sans"/>
          <w:color w:val="1f1f1f"/>
          <w:rtl w:val="0"/>
        </w:rPr>
        <w:t xml:space="preserve"> Kobiety powyżej 35. roku życia mają od 3,8 do 4,5 razy wyższe ryzyko wystąpienia stanu przedrzucawkowego w porównaniu do grupy wiekowej 25–29 lat.</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U kobiet po 40. roku życia ryzyko to wzrasta 7,46-krotnie.</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7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Wzrastanie wewnątrzmaciczne płodu (IUGR):</w:t>
      </w:r>
      <w:r w:rsidDel="00000000" w:rsidR="00000000" w:rsidRPr="00000000">
        <w:rPr>
          <w:rFonts w:ascii="Google Sans" w:cs="Google Sans" w:eastAsia="Google Sans" w:hAnsi="Google Sans"/>
          <w:color w:val="1f1f1f"/>
          <w:rtl w:val="0"/>
        </w:rPr>
        <w:t xml:space="preserve"> Starszy wiek matki jest niezależnym czynnikiem ryzyka ograniczenia wzrastania płodu, co wiąże się z gorszą wydolnością łożyska.</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7D">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Zgon okołoporodowy matki:</w:t>
      </w:r>
      <w:r w:rsidDel="00000000" w:rsidR="00000000" w:rsidRPr="00000000">
        <w:rPr>
          <w:rFonts w:ascii="Google Sans" w:cs="Google Sans" w:eastAsia="Google Sans" w:hAnsi="Google Sans"/>
          <w:color w:val="1f1f1f"/>
          <w:rtl w:val="0"/>
        </w:rPr>
        <w:t xml:space="preserve"> Choć są to zdarzenia rzadkie w krajach rozwiniętych, ryzyko zgonu matki rośnie wykładniczo z wiekiem. Metaanaliza 27 badań wykazała, że u kobiet powyżej 45. roku życia współczynnik ryzyka (</w:t>
      </w:r>
      <w:r w:rsidDel="00000000" w:rsidR="00000000" w:rsidRPr="00000000">
        <w:rPr>
          <w:rFonts w:ascii="Google Sans" w:cs="Google Sans" w:eastAsia="Google Sans" w:hAnsi="Google Sans"/>
          <w:color w:val="1f1f1f"/>
        </w:rPr>
        <w:drawing>
          <wp:inline distB="19050" distT="19050" distL="19050" distR="19050">
            <wp:extent cx="281285" cy="225028"/>
            <wp:effectExtent b="0" l="0" r="0" t="0"/>
            <wp:docPr id="9"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281285" cy="2250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wynosi 11,60, a powyżej 50. roku życia aż 42,76 w porównaniu do kobiet młodszych niż 40 lat.</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Ryzyko wad genetycznych u potomstwa: Zależność od wieku matki</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Jednym z najważniejszych argumentów medycznych przemawiających za prokreacją w wieku 20–30 lat jest minimalne ryzyko wystąpienia u dziecka trisomii oraz innych anomalii genetycznych.</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Najczęstszą wadą skorelowaną z wiekiem matki jest zespół Downa (trisomia 21). Mechanizm nondisjunkcji (nieprawidłowego rozejścia się chromosomów podczas mejozy) jest bezpośrednio powiązany ze starzeniem się oocytu.</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Wiek matki (lata)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Ryzyko zespołu Downa w żywych urodzeniach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Ryzyko dowolnej anomalii chromosomalnej</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Źródła danych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 1667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 526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 1250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 476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 952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 384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 353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 178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 85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 62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 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 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 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 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18</w:t>
            </w:r>
          </w:p>
        </w:tc>
      </w:tr>
    </w:tbl>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Z powyższych danych wynika, że między 25. a 45. rokiem życia ryzyko urodzenia dziecka z zespołem Downa wzrasta blisko 35-krotnie. Dlatego też medycyna oferuje kobietom po 35. roku życia szeroki zakres diagnostyki prenatalnej, w tym badania inwazyjne (amniopunkcja, biopsja kosmówki), które pozwalają na definitywne wykluczenie wad genetycznych.</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A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Cykle bezowulacyjne: Fizjologiczna bariera późnego macierzyństwa</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Płodność to nie tylko obecność pęcherzyków, ale zdolność do ich prawidłowego uwalniania. Nawet u regularnie miesiączkujących kobiet owulacja nie zachodzi w każdym cyklu.</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A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Charakterystyka cykli u kobiet w wieku szczytowym</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 młodych kobiet (20–30 lat) cykle bezowulacyjne występują sporadycznie – zazwyczaj 1 do 2 razy w roku.</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Jest to stan fizjologiczny, często związany ze stresem, infekcjami lub krótkotrwałymi zaburzeniami stylu życia. W tym wieku organizm najszybciej powraca do homeostazy hormonalnej.</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A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Wpływ wieku na częstotliwość anowulacji</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Wraz z wyczerpywaniem się rezerwy jajnikowej, proces rekrutacji pęcherzyka dominującego staje się coraz mniej przewidywalny.</w:t>
      </w:r>
    </w:p>
    <w:p w:rsidR="00000000" w:rsidDel="00000000" w:rsidP="00000000" w:rsidRDefault="00000000" w:rsidRPr="00000000" w14:paraId="000000A9">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Po 35. roku życia:</w:t>
      </w:r>
      <w:r w:rsidDel="00000000" w:rsidR="00000000" w:rsidRPr="00000000">
        <w:rPr>
          <w:rFonts w:ascii="Google Sans" w:cs="Google Sans" w:eastAsia="Google Sans" w:hAnsi="Google Sans"/>
          <w:color w:val="1f1f1f"/>
          <w:rtl w:val="0"/>
        </w:rPr>
        <w:t xml:space="preserve"> Cykle bezowulacyjne zaczynają pojawiać się częściej i bardziej regularnie.</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AA">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Po 40. roku życia:</w:t>
      </w:r>
      <w:r w:rsidDel="00000000" w:rsidR="00000000" w:rsidRPr="00000000">
        <w:rPr>
          <w:rFonts w:ascii="Google Sans" w:cs="Google Sans" w:eastAsia="Google Sans" w:hAnsi="Google Sans"/>
          <w:color w:val="1f1f1f"/>
          <w:rtl w:val="0"/>
        </w:rPr>
        <w:t xml:space="preserve"> Wiele kobiet doświadcza regularnych miesiączek, które są całkowicie pozbawione fazy owulacyjnej.</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AB">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Wiek 45 lat:</w:t>
      </w:r>
      <w:r w:rsidDel="00000000" w:rsidR="00000000" w:rsidRPr="00000000">
        <w:rPr>
          <w:rFonts w:ascii="Google Sans" w:cs="Google Sans" w:eastAsia="Google Sans" w:hAnsi="Google Sans"/>
          <w:color w:val="1f1f1f"/>
          <w:rtl w:val="0"/>
        </w:rPr>
        <w:t xml:space="preserve"> Szacuje się, że liczba cykli owulacyjnych w tym wieku obniża się o około 95% w stosunku do potencjału młodej kobiety.</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Częstotliwość anowulacji w badaniach przekrojowych regularnie miesiączkujących kobiet wynosi około 37% u kobiet o średniej wieku 42 lata.</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W okresie późnej perimenopauzy ponad 60% cykli jest bezowulacyjnych.</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To wyjaśnia, dlaczego mimo utrzymującego się krwawienia miesięcznego, szanse na naturalne poczęcie po 40. roku życia są minimalne.</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A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Rola wieku partnera w płodności pary</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Choć wiek kobiety jest kluczowym czynnikiem limitującym, medycyna coraz częściej zwraca uwagę na fakt, że płodność męska również nie jest bezterminowa. Choć mężczyźni produkują spermę przez całe życie, po 35.–40. roku życia parametry nasienia ulegają pogorszeniu.</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AF">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Jakość nasienia:</w:t>
      </w:r>
      <w:r w:rsidDel="00000000" w:rsidR="00000000" w:rsidRPr="00000000">
        <w:rPr>
          <w:rFonts w:ascii="Google Sans" w:cs="Google Sans" w:eastAsia="Google Sans" w:hAnsi="Google Sans"/>
          <w:color w:val="1f1f1f"/>
          <w:rtl w:val="0"/>
        </w:rPr>
        <w:t xml:space="preserve"> Z wiekiem rośnie stopień fragmentacji DNA plemników.</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B0">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Szansa na zapłodnienie:</w:t>
      </w:r>
      <w:r w:rsidDel="00000000" w:rsidR="00000000" w:rsidRPr="00000000">
        <w:rPr>
          <w:rFonts w:ascii="Google Sans" w:cs="Google Sans" w:eastAsia="Google Sans" w:hAnsi="Google Sans"/>
          <w:color w:val="1f1f1f"/>
          <w:rtl w:val="0"/>
        </w:rPr>
        <w:t xml:space="preserve"> U mężczyzn powyżej 35. roku życia szansa na zapłodnienie partnerki wynosi 25–28%, a po 40. roku życia spada do poziomu 6–8%.</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B1">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Prawdopodobieństwo poronienia:</w:t>
      </w:r>
      <w:r w:rsidDel="00000000" w:rsidR="00000000" w:rsidRPr="00000000">
        <w:rPr>
          <w:rFonts w:ascii="Google Sans" w:cs="Google Sans" w:eastAsia="Google Sans" w:hAnsi="Google Sans"/>
          <w:color w:val="1f1f1f"/>
          <w:rtl w:val="0"/>
        </w:rPr>
        <w:t xml:space="preserve"> Wiek ojca powyżej 40 lat jest niezależnym czynnikiem ryzyka poronienia samoistnego u partnerki (</w:t>
      </w:r>
      <w:r w:rsidDel="00000000" w:rsidR="00000000" w:rsidRPr="00000000">
        <w:rPr>
          <w:rFonts w:ascii="Google Sans" w:cs="Google Sans" w:eastAsia="Google Sans" w:hAnsi="Google Sans"/>
          <w:color w:val="1f1f1f"/>
        </w:rPr>
        <w:drawing>
          <wp:inline distB="19050" distT="19050" distL="19050" distR="19050">
            <wp:extent cx="886569" cy="228792"/>
            <wp:effectExtent b="0" l="0" r="0" t="0"/>
            <wp:docPr id="8"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886569" cy="2287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B2">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Wyniki IVF:</w:t>
      </w:r>
      <w:r w:rsidDel="00000000" w:rsidR="00000000" w:rsidRPr="00000000">
        <w:rPr>
          <w:rFonts w:ascii="Google Sans" w:cs="Google Sans" w:eastAsia="Google Sans" w:hAnsi="Google Sans"/>
          <w:color w:val="1f1f1f"/>
          <w:rtl w:val="0"/>
        </w:rPr>
        <w:t xml:space="preserve"> U par, w których kobieta ma 35 lat, prawdopodobieństwo poczęcia w ciągu 12 cykli spada z 82% do 72%, jeśli wiek partnera wzrasta z 35 do 40 lat.</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B3">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Skuteczność leczenia niepłodności metodami wspomaganego rozrodu (ART)</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Zjawisko odkładania macierzyństwa doprowadziło do wzrostu zapotrzebowania na techniki takie jak zapłodnienie pozaustrojowe (</w:t>
      </w:r>
      <w:r w:rsidDel="00000000" w:rsidR="00000000" w:rsidRPr="00000000">
        <w:rPr>
          <w:rFonts w:ascii="Google Sans" w:cs="Google Sans" w:eastAsia="Google Sans" w:hAnsi="Google Sans"/>
          <w:color w:val="1f1f1f"/>
        </w:rPr>
        <w:drawing>
          <wp:inline distB="19050" distT="19050" distL="19050" distR="19050">
            <wp:extent cx="388441" cy="227380"/>
            <wp:effectExtent b="0" l="0" r="0" t="0"/>
            <wp:docPr id="10"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388441" cy="2273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Jednak sukces tych procedur jest wciąż drastycznie uzależniony od wieku pacjentki w momencie pobrania oocytów.</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Wiek pacjentki (lata)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Skuteczność IVF (ciąża na cykl)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Skuteczność IVF (żywe urodzenie)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Źródła danych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&lt; 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66% (Gyncentrum)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~58–60%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51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&lt; 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65–69% (Invimed)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~43–50%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35–39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62% (Invimed)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40–42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33–42% (Gyncentrum)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~11–15%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43–44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Niska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Bardzo niska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~4–5,9%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Z powyższych statystyk wynika, że in vitro nie jest "gwarancją" dziecka w późnym wieku. Spadek sukcesu z poziomu 43,2% u kobiet poniżej 35 lat do zaledwie 5,9% u kobiet powyżej 42 lat (dane amerykańskie) obrazuje biologiczną barierę starzenia się oocytów.</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 sytuacjach, gdy własna rezerwa jajnikowa jest wyczerpana lub jakość oocytów uniemożliwia uzyskanie zdrowego zarodka, jedyną skuteczną alternatywą pozostaje </w:t>
      </w:r>
      <w:r w:rsidDel="00000000" w:rsidR="00000000" w:rsidRPr="00000000">
        <w:rPr>
          <w:rFonts w:ascii="Google Sans" w:cs="Google Sans" w:eastAsia="Google Sans" w:hAnsi="Google Sans"/>
          <w:b w:val="1"/>
          <w:bCs w:val="1"/>
          <w:color w:val="1f1f1f"/>
          <w:rtl w:val="0"/>
        </w:rPr>
        <w:t xml:space="preserve">adopcja prenatalna (dawstwo oocytów)</w:t>
      </w:r>
      <w:r w:rsidDel="00000000" w:rsidR="00000000" w:rsidRPr="00000000">
        <w:rPr>
          <w:rFonts w:ascii="Google Sans" w:cs="Google Sans" w:eastAsia="Google Sans" w:hAnsi="Google Sans"/>
          <w:color w:val="1f1f1f"/>
          <w:rtl w:val="0"/>
        </w:rPr>
        <w:t xml:space="preserve">. Użycie młodych komórek jajowych od dawczyń poniżej 35. roku życia pozwala na uzyskanie wskaźników ciąż na poziomie blisko 50–53% nawet u kobiet w wieku 43–45 lat.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Potwierdza to, że macica starszej kobiety zachowuje zdolność do donoszenia ciąży znacznie dłużej niż jej jajniki do produkcji gamet.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D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Polskie realia demograficzne i kliniczne</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Sytuacja w Polsce odzwierciedla trendy obserwowany w krajach wysokorozwiniętych. Od 1984 roku płodność Polek wykazuje trend spadkowy.</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Ogólny wskaźnik płodności (liczba urodzeń na 1000 kobiet w wieku 15–49 lat) spadł z historycznych poziomów do wartości 35,05 w 2022 roku.</w:t>
      </w:r>
      <w:r w:rsidDel="00000000" w:rsidR="00000000" w:rsidRPr="00000000">
        <w:rPr>
          <w:rFonts w:ascii="Google Sans" w:cs="Google Sans" w:eastAsia="Google Sans" w:hAnsi="Google Sans"/>
          <w:color w:val="444746"/>
          <w:sz w:val="24"/>
          <w:szCs w:val="24"/>
          <w:vertAlign w:val="superscript"/>
          <w:rtl w:val="0"/>
        </w:rPr>
        <w:t xml:space="preserve">53</w:t>
      </w:r>
    </w:p>
    <w:p w:rsidR="00000000" w:rsidDel="00000000" w:rsidP="00000000" w:rsidRDefault="00000000" w:rsidRPr="00000000" w14:paraId="000000D6">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Przesunięcie wieku debiutu macierzyńskiego:</w:t>
      </w:r>
      <w:r w:rsidDel="00000000" w:rsidR="00000000" w:rsidRPr="00000000">
        <w:rPr>
          <w:rFonts w:ascii="Google Sans" w:cs="Google Sans" w:eastAsia="Google Sans" w:hAnsi="Google Sans"/>
          <w:color w:val="1f1f1f"/>
          <w:rtl w:val="0"/>
        </w:rPr>
        <w:t xml:space="preserve"> Jeszcze na początku lat 90. większość Polek rodziła pierwsze dziecko w wieku 20–24 lat.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Obecnie mediana wieku przy planowaniu pierwszego dziecka to 30 lat, a drugiego – 33 lata.</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D7">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Największy spadek płodności:</w:t>
      </w:r>
      <w:r w:rsidDel="00000000" w:rsidR="00000000" w:rsidRPr="00000000">
        <w:rPr>
          <w:rFonts w:ascii="Google Sans" w:cs="Google Sans" w:eastAsia="Google Sans" w:hAnsi="Google Sans"/>
          <w:color w:val="1f1f1f"/>
          <w:rtl w:val="0"/>
        </w:rPr>
        <w:t xml:space="preserve"> W latach 1989–2000 odnotowano 52% spadek płodności w grupie wiekowej 20–24 lata, co świadczy o masowym przesunięciu planów prokreacyjnych z wieku optymalnego biologicznie na wiek późniejszy.</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D8">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Plany prokreacyjne:</w:t>
      </w:r>
      <w:r w:rsidDel="00000000" w:rsidR="00000000" w:rsidRPr="00000000">
        <w:rPr>
          <w:rFonts w:ascii="Google Sans" w:cs="Google Sans" w:eastAsia="Google Sans" w:hAnsi="Google Sans"/>
          <w:color w:val="1f1f1f"/>
          <w:rtl w:val="0"/>
        </w:rPr>
        <w:t xml:space="preserve"> Według danych CBOS z 2023 roku, najwyższy odsetek kobiet planujących potomstwo (31%) znajduje się w grupie wiekowej 30–34 lata, czyli w okresie, w którym płodność zaczyna już naturalnie opadać.</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D9">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Wytyczne Polskiego Towarzystwa Ginekologów i Położników (PTGiP)</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 obliczu zmieniającej się demografii, PTGiP sformułowało jasne rekomendacje dotyczące diagnostyki i leczenia niepłodności, dostosowane do wieku pacjentki.</w:t>
      </w:r>
      <w:r w:rsidDel="00000000" w:rsidR="00000000" w:rsidRPr="00000000">
        <w:rPr>
          <w:rFonts w:ascii="Google Sans" w:cs="Google Sans" w:eastAsia="Google Sans" w:hAnsi="Google Sans"/>
          <w:color w:val="444746"/>
          <w:sz w:val="24"/>
          <w:szCs w:val="24"/>
          <w:vertAlign w:val="superscript"/>
          <w:rtl w:val="0"/>
        </w:rPr>
        <w:t xml:space="preserve">55</w:t>
      </w:r>
    </w:p>
    <w:p w:rsidR="00000000" w:rsidDel="00000000" w:rsidP="00000000" w:rsidRDefault="00000000" w:rsidRPr="00000000" w14:paraId="000000DB">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Szybkość reakcji:</w:t>
      </w:r>
      <w:r w:rsidDel="00000000" w:rsidR="00000000" w:rsidRPr="00000000">
        <w:rPr>
          <w:rFonts w:ascii="Google Sans" w:cs="Google Sans" w:eastAsia="Google Sans" w:hAnsi="Google Sans"/>
          <w:color w:val="1f1f1f"/>
          <w:rtl w:val="0"/>
        </w:rPr>
        <w:t xml:space="preserve"> Rekomenduje się podjęcie diagnostyki po roku nieudanych starań u kobiet &lt;35 lat, po 6 miesiącach u kobiet w wieku 35–40 lat oraz bezzwłocznie u kobiet po 40. roku życia.</w:t>
      </w:r>
      <w:r w:rsidDel="00000000" w:rsidR="00000000" w:rsidRPr="00000000">
        <w:rPr>
          <w:rFonts w:ascii="Google Sans" w:cs="Google Sans" w:eastAsia="Google Sans" w:hAnsi="Google Sans"/>
          <w:color w:val="444746"/>
          <w:sz w:val="24"/>
          <w:szCs w:val="24"/>
          <w:vertAlign w:val="superscript"/>
          <w:rtl w:val="0"/>
        </w:rPr>
        <w:t xml:space="preserve">55</w:t>
      </w:r>
    </w:p>
    <w:p w:rsidR="00000000" w:rsidDel="00000000" w:rsidP="00000000" w:rsidRDefault="00000000" w:rsidRPr="00000000" w14:paraId="000000DC">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Endometrioza a wiek:</w:t>
      </w:r>
      <w:r w:rsidDel="00000000" w:rsidR="00000000" w:rsidRPr="00000000">
        <w:rPr>
          <w:rFonts w:ascii="Google Sans" w:cs="Google Sans" w:eastAsia="Google Sans" w:hAnsi="Google Sans"/>
          <w:color w:val="1f1f1f"/>
          <w:rtl w:val="0"/>
        </w:rPr>
        <w:t xml:space="preserve"> U młodszych pacjentek (&lt;35 lat) z łagodną endometriozą dopuszcza się do 6 cykli inseminacji domacicznej. U kobiet powyżej 35. roku życia limit ten wynosi 3 cykle, po czym należy przejść do IVF.</w:t>
      </w:r>
      <w:r w:rsidDel="00000000" w:rsidR="00000000" w:rsidRPr="00000000">
        <w:rPr>
          <w:rFonts w:ascii="Google Sans" w:cs="Google Sans" w:eastAsia="Google Sans" w:hAnsi="Google Sans"/>
          <w:color w:val="444746"/>
          <w:sz w:val="24"/>
          <w:szCs w:val="24"/>
          <w:vertAlign w:val="superscript"/>
          <w:rtl w:val="0"/>
        </w:rPr>
        <w:t xml:space="preserve">57</w:t>
      </w:r>
    </w:p>
    <w:p w:rsidR="00000000" w:rsidDel="00000000" w:rsidP="00000000" w:rsidRDefault="00000000" w:rsidRPr="00000000" w14:paraId="000000DD">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Wiek 38+:</w:t>
      </w:r>
      <w:r w:rsidDel="00000000" w:rsidR="00000000" w:rsidRPr="00000000">
        <w:rPr>
          <w:rFonts w:ascii="Google Sans" w:cs="Google Sans" w:eastAsia="Google Sans" w:hAnsi="Google Sans"/>
          <w:color w:val="1f1f1f"/>
          <w:rtl w:val="0"/>
        </w:rPr>
        <w:t xml:space="preserve"> W tej grupie wiekowej PTGiP uznaje zapłodnienie pozaustrojowe za postępowanie z wyboru, ze względu na konieczność maksymalizacji szans w skracającym się czasie reprodukcyjnym.</w:t>
      </w:r>
      <w:r w:rsidDel="00000000" w:rsidR="00000000" w:rsidRPr="00000000">
        <w:rPr>
          <w:rFonts w:ascii="Google Sans" w:cs="Google Sans" w:eastAsia="Google Sans" w:hAnsi="Google Sans"/>
          <w:color w:val="444746"/>
          <w:sz w:val="24"/>
          <w:szCs w:val="24"/>
          <w:vertAlign w:val="superscript"/>
          <w:rtl w:val="0"/>
        </w:rPr>
        <w:t xml:space="preserve">55</w:t>
      </w:r>
    </w:p>
    <w:p w:rsidR="00000000" w:rsidDel="00000000" w:rsidP="00000000" w:rsidRDefault="00000000" w:rsidRPr="00000000" w14:paraId="000000DE">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Liczba transferowanych zarodków:</w:t>
      </w:r>
      <w:r w:rsidDel="00000000" w:rsidR="00000000" w:rsidRPr="00000000">
        <w:rPr>
          <w:rFonts w:ascii="Google Sans" w:cs="Google Sans" w:eastAsia="Google Sans" w:hAnsi="Google Sans"/>
          <w:color w:val="1f1f1f"/>
          <w:rtl w:val="0"/>
        </w:rPr>
        <w:t xml:space="preserve"> W grupie młodych pacjentek zaleca się transfer pojedynczego zarodka, aby uniknąć ciąż wielopłodowych. Transfer trzech zarodków jest dopuszczalny wyjątkowo jedynie u kobiet po 40. roku życia.</w:t>
      </w:r>
      <w:r w:rsidDel="00000000" w:rsidR="00000000" w:rsidRPr="00000000">
        <w:rPr>
          <w:rFonts w:ascii="Google Sans" w:cs="Google Sans" w:eastAsia="Google Sans" w:hAnsi="Google Sans"/>
          <w:color w:val="444746"/>
          <w:sz w:val="24"/>
          <w:szCs w:val="24"/>
          <w:vertAlign w:val="superscript"/>
          <w:rtl w:val="0"/>
        </w:rPr>
        <w:t xml:space="preserve">58</w:t>
      </w:r>
    </w:p>
    <w:p w:rsidR="00000000" w:rsidDel="00000000" w:rsidP="00000000" w:rsidRDefault="00000000" w:rsidRPr="00000000" w14:paraId="000000DF">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Podsumowanie i wnioski kliniczne</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Kompleksowa analiza danych medycznych pozwala na sformułowanie jednoznacznych wniosków dotyczących wieku szczytowej płodności kobiet oraz konsekwencji jej naturalnego regresu.</w:t>
      </w:r>
    </w:p>
    <w:p w:rsidR="00000000" w:rsidDel="00000000" w:rsidP="00000000" w:rsidRDefault="00000000" w:rsidRPr="00000000" w14:paraId="000000E1">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Wiek optymalny:</w:t>
      </w:r>
      <w:r w:rsidDel="00000000" w:rsidR="00000000" w:rsidRPr="00000000">
        <w:rPr>
          <w:rFonts w:ascii="Google Sans" w:cs="Google Sans" w:eastAsia="Google Sans" w:hAnsi="Google Sans"/>
          <w:color w:val="1f1f1f"/>
          <w:rtl w:val="0"/>
        </w:rPr>
        <w:t xml:space="preserve"> Z punktu widzenia fizjologii, genetyki i statystyki klinicznej, szczyt płodności u kobiet przypada na przedział </w:t>
      </w:r>
      <w:r w:rsidDel="00000000" w:rsidR="00000000" w:rsidRPr="00000000">
        <w:rPr>
          <w:rFonts w:ascii="Google Sans" w:cs="Google Sans" w:eastAsia="Google Sans" w:hAnsi="Google Sans"/>
          <w:b w:val="1"/>
          <w:bCs w:val="1"/>
          <w:color w:val="1f1f1f"/>
          <w:rtl w:val="0"/>
        </w:rPr>
        <w:t xml:space="preserve">20–25 lat</w:t>
      </w:r>
      <w:r w:rsidDel="00000000" w:rsidR="00000000" w:rsidRPr="00000000">
        <w:rPr>
          <w:rFonts w:ascii="Google Sans" w:cs="Google Sans" w:eastAsia="Google Sans" w:hAnsi="Google Sans"/>
          <w:color w:val="1f1f1f"/>
          <w:rtl w:val="0"/>
        </w:rPr>
        <w:t xml:space="preserve">. Jest to okres, w którym miesięczne szanse na poczęcie wynoszą 25%, ryzyko poronienia jest najniższe (~10%), a prawdopodobieństwo urodzenia dziecka z wadą genetyczną jest marginalne.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E2">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Dynamika spadku:</w:t>
      </w:r>
      <w:r w:rsidDel="00000000" w:rsidR="00000000" w:rsidRPr="00000000">
        <w:rPr>
          <w:rFonts w:ascii="Google Sans" w:cs="Google Sans" w:eastAsia="Google Sans" w:hAnsi="Google Sans"/>
          <w:color w:val="1f1f1f"/>
          <w:rtl w:val="0"/>
        </w:rPr>
        <w:t xml:space="preserve"> Płodność ulega stopniowemu osłabieniu po 30. roku życia, a jej gwałtowny regres następuje po przekroczeniu </w:t>
      </w:r>
      <w:r w:rsidDel="00000000" w:rsidR="00000000" w:rsidRPr="00000000">
        <w:rPr>
          <w:rFonts w:ascii="Google Sans" w:cs="Google Sans" w:eastAsia="Google Sans" w:hAnsi="Google Sans"/>
          <w:b w:val="1"/>
          <w:bCs w:val="1"/>
          <w:color w:val="1f1f1f"/>
          <w:rtl w:val="0"/>
        </w:rPr>
        <w:t xml:space="preserve">35. roku życia</w:t>
      </w:r>
      <w:r w:rsidDel="00000000" w:rsidR="00000000" w:rsidRPr="00000000">
        <w:rPr>
          <w:rFonts w:ascii="Google Sans" w:cs="Google Sans" w:eastAsia="Google Sans" w:hAnsi="Google Sans"/>
          <w:color w:val="1f1f1f"/>
          <w:rtl w:val="0"/>
        </w:rPr>
        <w:t xml:space="preserve">. Wynika to z przyspieszonego zaniku pęcherzyków w jajnikach oraz drastycznego pogorszenia jakości genetycznej pozostałych oocytów.</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E3">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Bariery kliniczne:</w:t>
      </w:r>
      <w:r w:rsidDel="00000000" w:rsidR="00000000" w:rsidRPr="00000000">
        <w:rPr>
          <w:rFonts w:ascii="Google Sans" w:cs="Google Sans" w:eastAsia="Google Sans" w:hAnsi="Google Sans"/>
          <w:color w:val="1f1f1f"/>
          <w:rtl w:val="0"/>
        </w:rPr>
        <w:t xml:space="preserve"> Po 40. roku życia szanse na naturalne macierzyństwo spadają poniżej 7% na cykl, a ryzyko utraty ciąży przekracza 40%. W tym wieku skuteczność leczenia metodą in vitro przy użyciu własnych gamet jest również bardzo niska (poniżej 15%), co czyni wiek najważniejszym czynnikiem prognostycznym w medycynie rozrodu.</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E4">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Perspektywa publiczna:</w:t>
      </w:r>
      <w:r w:rsidDel="00000000" w:rsidR="00000000" w:rsidRPr="00000000">
        <w:rPr>
          <w:rFonts w:ascii="Google Sans" w:cs="Google Sans" w:eastAsia="Google Sans" w:hAnsi="Google Sans"/>
          <w:color w:val="1f1f1f"/>
          <w:rtl w:val="0"/>
        </w:rPr>
        <w:t xml:space="preserve"> Rozbieżność między "zegarem biologicznym" a współczesnym modelem życia (debiut macierzyński ok. 30. roku życia) generuje narastający problem medyczny i społeczny, jakim jest niepłodność związana z wiekiem. Wiedza o tym, że szczyt płodności kończy się przed 30. rokiem życia, jest kluczowa dla świadomego planowania rodziny i wczesnego podejmowania diagnostyki w przypadku trudności z poczęciem.</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 świetle dowodów medycznych, prokreacja we wczesnej dorosłości minimalizuje ryzyko interwencji medycznych, powikłań ciążowych oraz chorób genetycznych u potomstwa, stanowiąc biologicznie najbardziej efektywną drogę do rodzicielstwa.</w:t>
      </w:r>
    </w:p>
    <w:p w:rsidR="00000000" w:rsidDel="00000000" w:rsidP="00000000" w:rsidRDefault="00000000" w:rsidRPr="00000000" w14:paraId="000000E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Cytowane prace</w:t>
      </w:r>
    </w:p>
    <w:p w:rsidR="00000000" w:rsidDel="00000000" w:rsidP="00000000" w:rsidRDefault="00000000" w:rsidRPr="00000000" w14:paraId="000000E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Oocyte quality and aging - PMC, otwierano: marca 4, 2026, </w:t>
      </w:r>
      <w:hyperlink r:id="rId13">
        <w:r w:rsidDel="00000000" w:rsidR="00000000" w:rsidRPr="00000000">
          <w:rPr>
            <w:rFonts w:ascii="Google Sans" w:cs="Google Sans" w:eastAsia="Google Sans" w:hAnsi="Google Sans"/>
            <w:color w:val="0000ee"/>
            <w:sz w:val="24"/>
            <w:szCs w:val="24"/>
            <w:u w:val="single"/>
            <w:rtl w:val="0"/>
          </w:rPr>
          <w:t xml:space="preserve">https://pmc.ncbi.nlm.nih.gov/articles/PMC8769179/</w:t>
        </w:r>
      </w:hyperlink>
      <w:r w:rsidDel="00000000" w:rsidR="00000000" w:rsidRPr="00000000">
        <w:rPr>
          <w:rtl w:val="0"/>
        </w:rPr>
      </w:r>
    </w:p>
    <w:p w:rsidR="00000000" w:rsidDel="00000000" w:rsidP="00000000" w:rsidRDefault="00000000" w:rsidRPr="00000000" w14:paraId="000000E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Fertility vs. Fecundity: Examples &amp; Rate | What is Fecundity? - Lesson - Study.com, otwierano: marca 4, 2026, </w:t>
      </w:r>
      <w:hyperlink r:id="rId14">
        <w:r w:rsidDel="00000000" w:rsidR="00000000" w:rsidRPr="00000000">
          <w:rPr>
            <w:rFonts w:ascii="Google Sans" w:cs="Google Sans" w:eastAsia="Google Sans" w:hAnsi="Google Sans"/>
            <w:color w:val="0000ee"/>
            <w:sz w:val="24"/>
            <w:szCs w:val="24"/>
            <w:u w:val="single"/>
            <w:rtl w:val="0"/>
          </w:rPr>
          <w:t xml:space="preserve">https://study.com/academy/lesson/fecundity-vs-fertility-definition-lesson-quiz.html</w:t>
        </w:r>
      </w:hyperlink>
      <w:r w:rsidDel="00000000" w:rsidR="00000000" w:rsidRPr="00000000">
        <w:rPr>
          <w:rtl w:val="0"/>
        </w:rPr>
      </w:r>
    </w:p>
    <w:p w:rsidR="00000000" w:rsidDel="00000000" w:rsidP="00000000" w:rsidRDefault="00000000" w:rsidRPr="00000000" w14:paraId="000000E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Read "Offspring: Human Fertility Behavior in Biodemographic Perspective" at NAP.edu, otwierano: marca 4, 2026, </w:t>
      </w:r>
      <w:hyperlink r:id="rId15">
        <w:r w:rsidDel="00000000" w:rsidR="00000000" w:rsidRPr="00000000">
          <w:rPr>
            <w:rFonts w:ascii="Google Sans" w:cs="Google Sans" w:eastAsia="Google Sans" w:hAnsi="Google Sans"/>
            <w:color w:val="0000ee"/>
            <w:sz w:val="24"/>
            <w:szCs w:val="24"/>
            <w:u w:val="single"/>
            <w:rtl w:val="0"/>
          </w:rPr>
          <w:t xml:space="preserve">https://www.nationalacademies.org/read/10654/chapter/13</w:t>
        </w:r>
      </w:hyperlink>
      <w:r w:rsidDel="00000000" w:rsidR="00000000" w:rsidRPr="00000000">
        <w:rPr>
          <w:rtl w:val="0"/>
        </w:rPr>
      </w:r>
    </w:p>
    <w:p w:rsidR="00000000" w:rsidDel="00000000" w:rsidP="00000000" w:rsidRDefault="00000000" w:rsidRPr="00000000" w14:paraId="000000E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Biological factors affecting human fertility - Population - Britannica, otwierano: marca 4, 2026, </w:t>
      </w:r>
      <w:hyperlink r:id="rId16">
        <w:r w:rsidDel="00000000" w:rsidR="00000000" w:rsidRPr="00000000">
          <w:rPr>
            <w:rFonts w:ascii="Google Sans" w:cs="Google Sans" w:eastAsia="Google Sans" w:hAnsi="Google Sans"/>
            <w:color w:val="0000ee"/>
            <w:sz w:val="24"/>
            <w:szCs w:val="24"/>
            <w:u w:val="single"/>
            <w:rtl w:val="0"/>
          </w:rPr>
          <w:t xml:space="preserve">https://www.britannica.com/science/population-biology-and-anthropology/Biological-factors-affecting-human-fertility</w:t>
        </w:r>
      </w:hyperlink>
      <w:r w:rsidDel="00000000" w:rsidR="00000000" w:rsidRPr="00000000">
        <w:rPr>
          <w:rtl w:val="0"/>
        </w:rPr>
      </w:r>
    </w:p>
    <w:p w:rsidR="00000000" w:rsidDel="00000000" w:rsidP="00000000" w:rsidRDefault="00000000" w:rsidRPr="00000000" w14:paraId="000000E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 and fecundability in a North American preconception cohort study - PMC - NIH, otwierano: marca 4, 2026, </w:t>
      </w:r>
      <w:hyperlink r:id="rId17">
        <w:r w:rsidDel="00000000" w:rsidR="00000000" w:rsidRPr="00000000">
          <w:rPr>
            <w:rFonts w:ascii="Google Sans" w:cs="Google Sans" w:eastAsia="Google Sans" w:hAnsi="Google Sans"/>
            <w:color w:val="0000ee"/>
            <w:sz w:val="24"/>
            <w:szCs w:val="24"/>
            <w:u w:val="single"/>
            <w:rtl w:val="0"/>
          </w:rPr>
          <w:t xml:space="preserve">https://pmc.ncbi.nlm.nih.gov/articles/PMC5712257/</w:t>
        </w:r>
      </w:hyperlink>
      <w:r w:rsidDel="00000000" w:rsidR="00000000" w:rsidRPr="00000000">
        <w:rPr>
          <w:rtl w:val="0"/>
        </w:rPr>
      </w:r>
    </w:p>
    <w:p w:rsidR="00000000" w:rsidDel="00000000" w:rsidP="00000000" w:rsidRDefault="00000000" w:rsidRPr="00000000" w14:paraId="000000E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Płodność a wiek - jakie znaczenie ma wiek? - Klinika leczenia niepłodności | INVICTA, otwierano: marca 4, 2026, </w:t>
      </w:r>
      <w:hyperlink r:id="rId18">
        <w:r w:rsidDel="00000000" w:rsidR="00000000" w:rsidRPr="00000000">
          <w:rPr>
            <w:rFonts w:ascii="Google Sans" w:cs="Google Sans" w:eastAsia="Google Sans" w:hAnsi="Google Sans"/>
            <w:color w:val="0000ee"/>
            <w:sz w:val="24"/>
            <w:szCs w:val="24"/>
            <w:u w:val="single"/>
            <w:rtl w:val="0"/>
          </w:rPr>
          <w:t xml:space="preserve">https://klinikainvicta.pl/blog/plodnosc-a-wiek/</w:t>
        </w:r>
      </w:hyperlink>
      <w:r w:rsidDel="00000000" w:rsidR="00000000" w:rsidRPr="00000000">
        <w:rPr>
          <w:rtl w:val="0"/>
        </w:rPr>
      </w:r>
    </w:p>
    <w:p w:rsidR="00000000" w:rsidDel="00000000" w:rsidP="00000000" w:rsidRDefault="00000000" w:rsidRPr="00000000" w14:paraId="000000E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Wiek komórki jajowej – jak wpływa na płodność kobiety? - Gyncentrum, otwierano: marca 4, 2026, </w:t>
      </w:r>
      <w:hyperlink r:id="rId19">
        <w:r w:rsidDel="00000000" w:rsidR="00000000" w:rsidRPr="00000000">
          <w:rPr>
            <w:rFonts w:ascii="Google Sans" w:cs="Google Sans" w:eastAsia="Google Sans" w:hAnsi="Google Sans"/>
            <w:color w:val="0000ee"/>
            <w:sz w:val="24"/>
            <w:szCs w:val="24"/>
            <w:u w:val="single"/>
            <w:rtl w:val="0"/>
          </w:rPr>
          <w:t xml:space="preserve">https://gyncentrum.pl/strefa-wiedzy/ginekologia/wiek-komorki-jajowej-jak-wplywa-na-plodnosc-kobiety/</w:t>
        </w:r>
      </w:hyperlink>
      <w:r w:rsidDel="00000000" w:rsidR="00000000" w:rsidRPr="00000000">
        <w:rPr>
          <w:rtl w:val="0"/>
        </w:rPr>
      </w:r>
    </w:p>
    <w:p w:rsidR="00000000" w:rsidDel="00000000" w:rsidP="00000000" w:rsidRDefault="00000000" w:rsidRPr="00000000" w14:paraId="000000E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Płodność a wiek. Jakie są szanse na ciążę po 20., 30. i 40. roku życia? - Mjakmama24.pl, otwierano: marca 4, 2026, </w:t>
      </w:r>
      <w:hyperlink r:id="rId20">
        <w:r w:rsidDel="00000000" w:rsidR="00000000" w:rsidRPr="00000000">
          <w:rPr>
            <w:rFonts w:ascii="Google Sans" w:cs="Google Sans" w:eastAsia="Google Sans" w:hAnsi="Google Sans"/>
            <w:color w:val="0000ee"/>
            <w:sz w:val="24"/>
            <w:szCs w:val="24"/>
            <w:u w:val="single"/>
            <w:rtl w:val="0"/>
          </w:rPr>
          <w:t xml:space="preserve">https://www.mjakmama24.pl/przed-ciaza/problemy/plodnosc-a-wiek-jakie-sa-szanse-na-ciaze-po-20-30-i-40-roku-zycia-aa-3Kh5-xiSg-WB4b.html</w:t>
        </w:r>
      </w:hyperlink>
      <w:r w:rsidDel="00000000" w:rsidR="00000000" w:rsidRPr="00000000">
        <w:rPr>
          <w:rtl w:val="0"/>
        </w:rPr>
      </w:r>
    </w:p>
    <w:p w:rsidR="00000000" w:rsidDel="00000000" w:rsidP="00000000" w:rsidRDefault="00000000" w:rsidRPr="00000000" w14:paraId="000000E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Jak wiek kobiety wpływa na płodność? - Klinika Bocian, otwierano: marca 4, 2026, </w:t>
      </w:r>
      <w:hyperlink r:id="rId21">
        <w:r w:rsidDel="00000000" w:rsidR="00000000" w:rsidRPr="00000000">
          <w:rPr>
            <w:rFonts w:ascii="Google Sans" w:cs="Google Sans" w:eastAsia="Google Sans" w:hAnsi="Google Sans"/>
            <w:color w:val="0000ee"/>
            <w:sz w:val="24"/>
            <w:szCs w:val="24"/>
            <w:u w:val="single"/>
            <w:rtl w:val="0"/>
          </w:rPr>
          <w:t xml:space="preserve">https://klinikabocian.pl/wiedza/artykul/jak-wiek-kobiety-wplywa-na-plodnosc</w:t>
        </w:r>
      </w:hyperlink>
      <w:r w:rsidDel="00000000" w:rsidR="00000000" w:rsidRPr="00000000">
        <w:rPr>
          <w:rtl w:val="0"/>
        </w:rPr>
      </w:r>
    </w:p>
    <w:p w:rsidR="00000000" w:rsidDel="00000000" w:rsidP="00000000" w:rsidRDefault="00000000" w:rsidRPr="00000000" w14:paraId="000000F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Fertility in women in premenopausal age - Termedia, otwierano: marca 4, 2026, </w:t>
      </w:r>
      <w:hyperlink r:id="rId22">
        <w:r w:rsidDel="00000000" w:rsidR="00000000" w:rsidRPr="00000000">
          <w:rPr>
            <w:rFonts w:ascii="Google Sans" w:cs="Google Sans" w:eastAsia="Google Sans" w:hAnsi="Google Sans"/>
            <w:color w:val="0000ee"/>
            <w:sz w:val="24"/>
            <w:szCs w:val="24"/>
            <w:u w:val="single"/>
            <w:rtl w:val="0"/>
          </w:rPr>
          <w:t xml:space="preserve">https://www.termedia.pl/Fertility-in-women-in-premenopausal-age,4,194,1,1.html</w:t>
        </w:r>
      </w:hyperlink>
      <w:r w:rsidDel="00000000" w:rsidR="00000000" w:rsidRPr="00000000">
        <w:rPr>
          <w:rtl w:val="0"/>
        </w:rPr>
      </w:r>
    </w:p>
    <w:p w:rsidR="00000000" w:rsidDel="00000000" w:rsidP="00000000" w:rsidRDefault="00000000" w:rsidRPr="00000000" w14:paraId="000000F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Wpływ stylu życia na płodność – przegląd literatury - HYGEIA public health, otwierano: marca 4, 2026, </w:t>
      </w:r>
      <w:hyperlink r:id="rId23">
        <w:r w:rsidDel="00000000" w:rsidR="00000000" w:rsidRPr="00000000">
          <w:rPr>
            <w:rFonts w:ascii="Google Sans" w:cs="Google Sans" w:eastAsia="Google Sans" w:hAnsi="Google Sans"/>
            <w:color w:val="0000ee"/>
            <w:sz w:val="24"/>
            <w:szCs w:val="24"/>
            <w:u w:val="single"/>
            <w:rtl w:val="0"/>
          </w:rPr>
          <w:t xml:space="preserve">http://www.h-ph.pl/pdf/hyg-2019/hyg-2019-3-173.pdf</w:t>
        </w:r>
      </w:hyperlink>
      <w:r w:rsidDel="00000000" w:rsidR="00000000" w:rsidRPr="00000000">
        <w:rPr>
          <w:rtl w:val="0"/>
        </w:rPr>
      </w:r>
    </w:p>
    <w:p w:rsidR="00000000" w:rsidDel="00000000" w:rsidP="00000000" w:rsidRDefault="00000000" w:rsidRPr="00000000" w14:paraId="000000F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you need to know about egg quality and quantity - Progyny, otwierano: marca 4, 2026, </w:t>
      </w:r>
      <w:hyperlink r:id="rId24">
        <w:r w:rsidDel="00000000" w:rsidR="00000000" w:rsidRPr="00000000">
          <w:rPr>
            <w:rFonts w:ascii="Google Sans" w:cs="Google Sans" w:eastAsia="Google Sans" w:hAnsi="Google Sans"/>
            <w:color w:val="0000ee"/>
            <w:sz w:val="24"/>
            <w:szCs w:val="24"/>
            <w:u w:val="single"/>
            <w:rtl w:val="0"/>
          </w:rPr>
          <w:t xml:space="preserve">https://progyny.com/education/female-infertility/ovarian-reserve/</w:t>
        </w:r>
      </w:hyperlink>
      <w:r w:rsidDel="00000000" w:rsidR="00000000" w:rsidRPr="00000000">
        <w:rPr>
          <w:rtl w:val="0"/>
        </w:rPr>
      </w:r>
    </w:p>
    <w:p w:rsidR="00000000" w:rsidDel="00000000" w:rsidP="00000000" w:rsidRDefault="00000000" w:rsidRPr="00000000" w14:paraId="000000F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Cykl bezowulacyjny: objawy, przyczyny, diagnostyka, leczenie | Klinika INVICTA, otwierano: marca 4, 2026, </w:t>
      </w:r>
      <w:hyperlink r:id="rId25">
        <w:r w:rsidDel="00000000" w:rsidR="00000000" w:rsidRPr="00000000">
          <w:rPr>
            <w:rFonts w:ascii="Google Sans" w:cs="Google Sans" w:eastAsia="Google Sans" w:hAnsi="Google Sans"/>
            <w:color w:val="0000ee"/>
            <w:sz w:val="24"/>
            <w:szCs w:val="24"/>
            <w:u w:val="single"/>
            <w:rtl w:val="0"/>
          </w:rPr>
          <w:t xml:space="preserve">https://klinikainvicta.pl/invictopedia/cykl-bezowulacyjny-jakie-objawy-przyczyny-i-leczenie/</w:t>
        </w:r>
      </w:hyperlink>
      <w:r w:rsidDel="00000000" w:rsidR="00000000" w:rsidRPr="00000000">
        <w:rPr>
          <w:rtl w:val="0"/>
        </w:rPr>
      </w:r>
    </w:p>
    <w:p w:rsidR="00000000" w:rsidDel="00000000" w:rsidP="00000000" w:rsidRDefault="00000000" w:rsidRPr="00000000" w14:paraId="000000F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Facts &amp; Figures | Fertility Statistics - Extend Fertility, otwierano: marca 4, 2026, </w:t>
      </w:r>
      <w:hyperlink r:id="rId26">
        <w:r w:rsidDel="00000000" w:rsidR="00000000" w:rsidRPr="00000000">
          <w:rPr>
            <w:rFonts w:ascii="Google Sans" w:cs="Google Sans" w:eastAsia="Google Sans" w:hAnsi="Google Sans"/>
            <w:color w:val="0000ee"/>
            <w:sz w:val="24"/>
            <w:szCs w:val="24"/>
            <w:u w:val="single"/>
            <w:rtl w:val="0"/>
          </w:rPr>
          <w:t xml:space="preserve">https://extendfertility.com/your-fertility/fertility-statistics-by-age/</w:t>
        </w:r>
      </w:hyperlink>
      <w:r w:rsidDel="00000000" w:rsidR="00000000" w:rsidRPr="00000000">
        <w:rPr>
          <w:rtl w:val="0"/>
        </w:rPr>
      </w:r>
    </w:p>
    <w:p w:rsidR="00000000" w:rsidDel="00000000" w:rsidP="00000000" w:rsidRDefault="00000000" w:rsidRPr="00000000" w14:paraId="000000F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Ciąża po 30-stce: jakie szanse, na co uważać? | Klinika INVICTA, otwierano: marca 4, 2026, </w:t>
      </w:r>
      <w:hyperlink r:id="rId27">
        <w:r w:rsidDel="00000000" w:rsidR="00000000" w:rsidRPr="00000000">
          <w:rPr>
            <w:rFonts w:ascii="Google Sans" w:cs="Google Sans" w:eastAsia="Google Sans" w:hAnsi="Google Sans"/>
            <w:color w:val="0000ee"/>
            <w:sz w:val="24"/>
            <w:szCs w:val="24"/>
            <w:u w:val="single"/>
            <w:rtl w:val="0"/>
          </w:rPr>
          <w:t xml:space="preserve">https://klinikainvicta.pl/blog/ciaza-po-30-stce-jakie-szanse-na-co-uwazac/</w:t>
        </w:r>
      </w:hyperlink>
      <w:r w:rsidDel="00000000" w:rsidR="00000000" w:rsidRPr="00000000">
        <w:rPr>
          <w:rtl w:val="0"/>
        </w:rPr>
      </w:r>
    </w:p>
    <w:p w:rsidR="00000000" w:rsidDel="00000000" w:rsidP="00000000" w:rsidRDefault="00000000" w:rsidRPr="00000000" w14:paraId="000000F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Ile przeciętna para stara się o dziecko? - Parens, otwierano: marca 4, 2026, </w:t>
      </w:r>
      <w:hyperlink r:id="rId28">
        <w:r w:rsidDel="00000000" w:rsidR="00000000" w:rsidRPr="00000000">
          <w:rPr>
            <w:rFonts w:ascii="Google Sans" w:cs="Google Sans" w:eastAsia="Google Sans" w:hAnsi="Google Sans"/>
            <w:color w:val="0000ee"/>
            <w:sz w:val="24"/>
            <w:szCs w:val="24"/>
            <w:u w:val="single"/>
            <w:rtl w:val="0"/>
          </w:rPr>
          <w:t xml:space="preserve">https://parens.pl/leczenie-co-warto-wiedziec/ile-przecietna-para-stara-sie-o-dziecko/</w:t>
        </w:r>
      </w:hyperlink>
      <w:r w:rsidDel="00000000" w:rsidR="00000000" w:rsidRPr="00000000">
        <w:rPr>
          <w:rtl w:val="0"/>
        </w:rPr>
      </w:r>
    </w:p>
    <w:p w:rsidR="00000000" w:rsidDel="00000000" w:rsidP="00000000" w:rsidRDefault="00000000" w:rsidRPr="00000000" w14:paraId="000000F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Evidence on: Pregnancy at Age 35 and Older, otwierano: marca 4, 2026, </w:t>
      </w:r>
      <w:hyperlink r:id="rId29">
        <w:r w:rsidDel="00000000" w:rsidR="00000000" w:rsidRPr="00000000">
          <w:rPr>
            <w:rFonts w:ascii="Google Sans" w:cs="Google Sans" w:eastAsia="Google Sans" w:hAnsi="Google Sans"/>
            <w:color w:val="0000ee"/>
            <w:sz w:val="24"/>
            <w:szCs w:val="24"/>
            <w:u w:val="single"/>
            <w:rtl w:val="0"/>
          </w:rPr>
          <w:t xml:space="preserve">https://evidencebasedbirth.com/advanced-maternal-age/</w:t>
        </w:r>
      </w:hyperlink>
      <w:r w:rsidDel="00000000" w:rsidR="00000000" w:rsidRPr="00000000">
        <w:rPr>
          <w:rtl w:val="0"/>
        </w:rPr>
      </w:r>
    </w:p>
    <w:p w:rsidR="00000000" w:rsidDel="00000000" w:rsidP="00000000" w:rsidRDefault="00000000" w:rsidRPr="00000000" w14:paraId="000000F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Table: Maternal Age and Risk of Having a Baby With a Chromosomal Abnormality - Merck Manuals, otwierano: marca 4, 2026, </w:t>
      </w:r>
      <w:hyperlink r:id="rId30">
        <w:r w:rsidDel="00000000" w:rsidR="00000000" w:rsidRPr="00000000">
          <w:rPr>
            <w:rFonts w:ascii="Google Sans" w:cs="Google Sans" w:eastAsia="Google Sans" w:hAnsi="Google Sans"/>
            <w:color w:val="0000ee"/>
            <w:sz w:val="24"/>
            <w:szCs w:val="24"/>
            <w:u w:val="single"/>
            <w:rtl w:val="0"/>
          </w:rPr>
          <w:t xml:space="preserve">https://www.merckmanuals.com/professional/multimedia/table/maternal-age-and-risk-of-having-a-baby-with-a-chromosomal-abnormality</w:t>
        </w:r>
      </w:hyperlink>
      <w:r w:rsidDel="00000000" w:rsidR="00000000" w:rsidRPr="00000000">
        <w:rPr>
          <w:rtl w:val="0"/>
        </w:rPr>
      </w:r>
    </w:p>
    <w:p w:rsidR="00000000" w:rsidDel="00000000" w:rsidP="00000000" w:rsidRDefault="00000000" w:rsidRPr="00000000" w14:paraId="000000F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Kalkulator szansy na zajście w ciążę : jak wiek wpływa na płodność? - Recepta.pl, otwierano: marca 4, 2026, </w:t>
      </w:r>
      <w:hyperlink r:id="rId31">
        <w:r w:rsidDel="00000000" w:rsidR="00000000" w:rsidRPr="00000000">
          <w:rPr>
            <w:rFonts w:ascii="Google Sans" w:cs="Google Sans" w:eastAsia="Google Sans" w:hAnsi="Google Sans"/>
            <w:color w:val="0000ee"/>
            <w:sz w:val="24"/>
            <w:szCs w:val="24"/>
            <w:u w:val="single"/>
            <w:rtl w:val="0"/>
          </w:rPr>
          <w:t xml:space="preserve">https://recepta.pl/artykuly/kalkulator-szansy-na-zajscie-w-ciaze-jak-wiek-wplywa-na-plodnosc</w:t>
        </w:r>
      </w:hyperlink>
      <w:r w:rsidDel="00000000" w:rsidR="00000000" w:rsidRPr="00000000">
        <w:rPr>
          <w:rtl w:val="0"/>
        </w:rPr>
      </w:r>
    </w:p>
    <w:p w:rsidR="00000000" w:rsidDel="00000000" w:rsidP="00000000" w:rsidRDefault="00000000" w:rsidRPr="00000000" w14:paraId="000000F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Egg Quality and Quantity Decline - Ovarian Reserve - Tennessee Fertility, otwierano: marca 4, 2026, </w:t>
      </w:r>
      <w:hyperlink r:id="rId32">
        <w:r w:rsidDel="00000000" w:rsidR="00000000" w:rsidRPr="00000000">
          <w:rPr>
            <w:rFonts w:ascii="Google Sans" w:cs="Google Sans" w:eastAsia="Google Sans" w:hAnsi="Google Sans"/>
            <w:color w:val="0000ee"/>
            <w:sz w:val="24"/>
            <w:szCs w:val="24"/>
            <w:u w:val="single"/>
            <w:rtl w:val="0"/>
          </w:rPr>
          <w:t xml:space="preserve">https://www.nashvillefertility.com/when-do-egg-quality-and-quantity-decline/</w:t>
        </w:r>
      </w:hyperlink>
      <w:r w:rsidDel="00000000" w:rsidR="00000000" w:rsidRPr="00000000">
        <w:rPr>
          <w:rtl w:val="0"/>
        </w:rPr>
      </w:r>
    </w:p>
    <w:p w:rsidR="00000000" w:rsidDel="00000000" w:rsidP="00000000" w:rsidRDefault="00000000" w:rsidRPr="00000000" w14:paraId="000000F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Szanse na ciążę po 40. Późne macierzyństwo - zapłodnienie naturalne i pozaustrojowe, otwierano: marca 4, 2026, </w:t>
      </w:r>
      <w:hyperlink r:id="rId33">
        <w:r w:rsidDel="00000000" w:rsidR="00000000" w:rsidRPr="00000000">
          <w:rPr>
            <w:rFonts w:ascii="Google Sans" w:cs="Google Sans" w:eastAsia="Google Sans" w:hAnsi="Google Sans"/>
            <w:color w:val="0000ee"/>
            <w:sz w:val="24"/>
            <w:szCs w:val="24"/>
            <w:u w:val="single"/>
            <w:rtl w:val="0"/>
          </w:rPr>
          <w:t xml:space="preserve">https://tfp-fertility.com/pl-pl/blog/pozne-macierzynstwo-szanse-na-zajscie-w-ciaze-po-40</w:t>
        </w:r>
      </w:hyperlink>
      <w:r w:rsidDel="00000000" w:rsidR="00000000" w:rsidRPr="00000000">
        <w:rPr>
          <w:rtl w:val="0"/>
        </w:rPr>
      </w:r>
    </w:p>
    <w:p w:rsidR="00000000" w:rsidDel="00000000" w:rsidP="00000000" w:rsidRDefault="00000000" w:rsidRPr="00000000" w14:paraId="000000F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Wiek kobiety a płodność - Nasz-Bocian.pl, otwierano: marca 4, 2026, </w:t>
      </w:r>
      <w:hyperlink r:id="rId34">
        <w:r w:rsidDel="00000000" w:rsidR="00000000" w:rsidRPr="00000000">
          <w:rPr>
            <w:rFonts w:ascii="Google Sans" w:cs="Google Sans" w:eastAsia="Google Sans" w:hAnsi="Google Sans"/>
            <w:color w:val="0000ee"/>
            <w:sz w:val="24"/>
            <w:szCs w:val="24"/>
            <w:u w:val="single"/>
            <w:rtl w:val="0"/>
          </w:rPr>
          <w:t xml:space="preserve">https://nasz-bocian.pl/artykul/wiek-kobiety-plodnosc</w:t>
        </w:r>
      </w:hyperlink>
      <w:r w:rsidDel="00000000" w:rsidR="00000000" w:rsidRPr="00000000">
        <w:rPr>
          <w:rtl w:val="0"/>
        </w:rPr>
      </w:r>
    </w:p>
    <w:p w:rsidR="00000000" w:rsidDel="00000000" w:rsidP="00000000" w:rsidRDefault="00000000" w:rsidRPr="00000000" w14:paraId="000000F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Female fertility and age - ESHRE, otwierano: marca 4, 2026, </w:t>
      </w:r>
      <w:hyperlink r:id="rId35">
        <w:r w:rsidDel="00000000" w:rsidR="00000000" w:rsidRPr="00000000">
          <w:rPr>
            <w:rFonts w:ascii="Google Sans" w:cs="Google Sans" w:eastAsia="Google Sans" w:hAnsi="Google Sans"/>
            <w:color w:val="0000ee"/>
            <w:sz w:val="24"/>
            <w:szCs w:val="24"/>
            <w:u w:val="single"/>
            <w:rtl w:val="0"/>
          </w:rPr>
          <w:t xml:space="preserve">https://www.eshre.eu/-/media/sitecore-files/SIGs/GSCA/IRHEC/Leaflets/ESHRE---Female-fertility-and-age.pdf</w:t>
        </w:r>
      </w:hyperlink>
      <w:r w:rsidDel="00000000" w:rsidR="00000000" w:rsidRPr="00000000">
        <w:rPr>
          <w:rtl w:val="0"/>
        </w:rPr>
      </w:r>
    </w:p>
    <w:p w:rsidR="00000000" w:rsidDel="00000000" w:rsidP="00000000" w:rsidRDefault="00000000" w:rsidRPr="00000000" w14:paraId="000000F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Ovarian reserve (predicting fertility potential in women) - ReproductiveFacts.org, otwierano: marca 4, 2026, </w:t>
      </w:r>
      <w:hyperlink r:id="rId36">
        <w:r w:rsidDel="00000000" w:rsidR="00000000" w:rsidRPr="00000000">
          <w:rPr>
            <w:rFonts w:ascii="Google Sans" w:cs="Google Sans" w:eastAsia="Google Sans" w:hAnsi="Google Sans"/>
            <w:color w:val="0000ee"/>
            <w:sz w:val="24"/>
            <w:szCs w:val="24"/>
            <w:u w:val="single"/>
            <w:rtl w:val="0"/>
          </w:rPr>
          <w:t xml:space="preserve">https://www.reproductivefacts.org/news-and-publications/fact-sheets-and-infographics/ovarian-reserve-predicting-fertility-potential-in-women/</w:t>
        </w:r>
      </w:hyperlink>
      <w:r w:rsidDel="00000000" w:rsidR="00000000" w:rsidRPr="00000000">
        <w:rPr>
          <w:rtl w:val="0"/>
        </w:rPr>
      </w:r>
    </w:p>
    <w:p w:rsidR="00000000" w:rsidDel="00000000" w:rsidP="00000000" w:rsidRDefault="00000000" w:rsidRPr="00000000" w14:paraId="000000F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Ovarian Reserve Testing: Range, Purpose &amp; Results - Cleveland Clinic, otwierano: marca 4, 2026, </w:t>
      </w:r>
      <w:hyperlink r:id="rId37">
        <w:r w:rsidDel="00000000" w:rsidR="00000000" w:rsidRPr="00000000">
          <w:rPr>
            <w:rFonts w:ascii="Google Sans" w:cs="Google Sans" w:eastAsia="Google Sans" w:hAnsi="Google Sans"/>
            <w:color w:val="0000ee"/>
            <w:sz w:val="24"/>
            <w:szCs w:val="24"/>
            <w:u w:val="single"/>
            <w:rtl w:val="0"/>
          </w:rPr>
          <w:t xml:space="preserve">https://my.clevelandclinic.org/health/diagnostics/25142-ovarian-reserve-testing</w:t>
        </w:r>
      </w:hyperlink>
      <w:r w:rsidDel="00000000" w:rsidR="00000000" w:rsidRPr="00000000">
        <w:rPr>
          <w:rtl w:val="0"/>
        </w:rPr>
      </w:r>
    </w:p>
    <w:p w:rsidR="00000000" w:rsidDel="00000000" w:rsidP="00000000" w:rsidRDefault="00000000" w:rsidRPr="00000000" w14:paraId="0000010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Maternal age-specific rates of fetal chromosomal abnormalities in Korean pregnant women of advanced maternal age - PMC, otwierano: marca 4, 2026, </w:t>
      </w:r>
      <w:hyperlink r:id="rId38">
        <w:r w:rsidDel="00000000" w:rsidR="00000000" w:rsidRPr="00000000">
          <w:rPr>
            <w:rFonts w:ascii="Google Sans" w:cs="Google Sans" w:eastAsia="Google Sans" w:hAnsi="Google Sans"/>
            <w:color w:val="0000ee"/>
            <w:sz w:val="24"/>
            <w:szCs w:val="24"/>
            <w:u w:val="single"/>
            <w:rtl w:val="0"/>
          </w:rPr>
          <w:t xml:space="preserve">https://pmc.ncbi.nlm.nih.gov/articles/PMC3784117/</w:t>
        </w:r>
      </w:hyperlink>
      <w:r w:rsidDel="00000000" w:rsidR="00000000" w:rsidRPr="00000000">
        <w:rPr>
          <w:rtl w:val="0"/>
        </w:rPr>
      </w:r>
    </w:p>
    <w:p w:rsidR="00000000" w:rsidDel="00000000" w:rsidP="00000000" w:rsidRDefault="00000000" w:rsidRPr="00000000" w14:paraId="0000010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Epidemiologia niepłodności kobiecej – statystyki i trendy występowania - Leki.pl, otwierano: marca 4, 2026, </w:t>
      </w:r>
      <w:hyperlink r:id="rId39">
        <w:r w:rsidDel="00000000" w:rsidR="00000000" w:rsidRPr="00000000">
          <w:rPr>
            <w:rFonts w:ascii="Google Sans" w:cs="Google Sans" w:eastAsia="Google Sans" w:hAnsi="Google Sans"/>
            <w:color w:val="0000ee"/>
            <w:sz w:val="24"/>
            <w:szCs w:val="24"/>
            <w:u w:val="single"/>
            <w:rtl w:val="0"/>
          </w:rPr>
          <w:t xml:space="preserve">https://leki.pl/na/nieplodnosc-kobieca/epidemiologia/</w:t>
        </w:r>
      </w:hyperlink>
      <w:r w:rsidDel="00000000" w:rsidR="00000000" w:rsidRPr="00000000">
        <w:rPr>
          <w:rtl w:val="0"/>
        </w:rPr>
      </w:r>
    </w:p>
    <w:p w:rsidR="00000000" w:rsidDel="00000000" w:rsidP="00000000" w:rsidRDefault="00000000" w:rsidRPr="00000000" w14:paraId="0000010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Przygotowania do ciąży w wieku 20, 30 i 40 lat - Apteline.pl, otwierano: marca 4, 2026, </w:t>
      </w:r>
      <w:hyperlink r:id="rId40">
        <w:r w:rsidDel="00000000" w:rsidR="00000000" w:rsidRPr="00000000">
          <w:rPr>
            <w:rFonts w:ascii="Google Sans" w:cs="Google Sans" w:eastAsia="Google Sans" w:hAnsi="Google Sans"/>
            <w:color w:val="0000ee"/>
            <w:sz w:val="24"/>
            <w:szCs w:val="24"/>
            <w:u w:val="single"/>
            <w:rtl w:val="0"/>
          </w:rPr>
          <w:t xml:space="preserve">https://apteline.pl/artykuly/przygotowania-do-ciazy-w-wieku-20-30-i-40-lat</w:t>
        </w:r>
      </w:hyperlink>
      <w:r w:rsidDel="00000000" w:rsidR="00000000" w:rsidRPr="00000000">
        <w:rPr>
          <w:rtl w:val="0"/>
        </w:rPr>
      </w:r>
    </w:p>
    <w:p w:rsidR="00000000" w:rsidDel="00000000" w:rsidP="00000000" w:rsidRDefault="00000000" w:rsidRPr="00000000" w14:paraId="0000010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Impact of Female Age and Nulligravidity on Fecundity in an Older Reproductive Age Cohort - PMC, otwierano: marca 4, 2026, </w:t>
      </w:r>
      <w:hyperlink r:id="rId41">
        <w:r w:rsidDel="00000000" w:rsidR="00000000" w:rsidRPr="00000000">
          <w:rPr>
            <w:rFonts w:ascii="Google Sans" w:cs="Google Sans" w:eastAsia="Google Sans" w:hAnsi="Google Sans"/>
            <w:color w:val="0000ee"/>
            <w:sz w:val="24"/>
            <w:szCs w:val="24"/>
            <w:u w:val="single"/>
            <w:rtl w:val="0"/>
          </w:rPr>
          <w:t xml:space="preserve">https://pmc.ncbi.nlm.nih.gov/articles/PMC4893975/</w:t>
        </w:r>
      </w:hyperlink>
      <w:r w:rsidDel="00000000" w:rsidR="00000000" w:rsidRPr="00000000">
        <w:rPr>
          <w:rtl w:val="0"/>
        </w:rPr>
      </w:r>
    </w:p>
    <w:p w:rsidR="00000000" w:rsidDel="00000000" w:rsidP="00000000" w:rsidRDefault="00000000" w:rsidRPr="00000000" w14:paraId="0000010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Untitled - Uniwersytet Medyczny w Białymstoku, otwierano: marca 4, 2026, </w:t>
      </w:r>
      <w:hyperlink r:id="rId42">
        <w:r w:rsidDel="00000000" w:rsidR="00000000" w:rsidRPr="00000000">
          <w:rPr>
            <w:rFonts w:ascii="Google Sans" w:cs="Google Sans" w:eastAsia="Google Sans" w:hAnsi="Google Sans"/>
            <w:color w:val="0000ee"/>
            <w:sz w:val="24"/>
            <w:szCs w:val="24"/>
            <w:u w:val="single"/>
            <w:rtl w:val="0"/>
          </w:rPr>
          <w:t xml:space="preserve">https://www.umb.edu.pl/photo/pliki/WNoZ_jednostki/wnoz-z-zintegrowanej-opieki-medycznej/monografie/przebieg_ciazy_i_porodu_u_matek_mlodocianych_w_polsce_i_na_bialorusi.pdf</w:t>
        </w:r>
      </w:hyperlink>
      <w:r w:rsidDel="00000000" w:rsidR="00000000" w:rsidRPr="00000000">
        <w:rPr>
          <w:rtl w:val="0"/>
        </w:rPr>
      </w:r>
    </w:p>
    <w:p w:rsidR="00000000" w:rsidDel="00000000" w:rsidP="00000000" w:rsidRDefault="00000000" w:rsidRPr="00000000" w14:paraId="0000010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Advanced Maternal Age: Pregnancy After 35 - Cleveland Clinic, otwierano: marca 4, 2026, </w:t>
      </w:r>
      <w:hyperlink r:id="rId43">
        <w:r w:rsidDel="00000000" w:rsidR="00000000" w:rsidRPr="00000000">
          <w:rPr>
            <w:rFonts w:ascii="Google Sans" w:cs="Google Sans" w:eastAsia="Google Sans" w:hAnsi="Google Sans"/>
            <w:color w:val="0000ee"/>
            <w:sz w:val="24"/>
            <w:szCs w:val="24"/>
            <w:u w:val="single"/>
            <w:rtl w:val="0"/>
          </w:rPr>
          <w:t xml:space="preserve">https://my.clevelandclinic.org/health/diseases/22438-advanced-maternal-age</w:t>
        </w:r>
      </w:hyperlink>
      <w:r w:rsidDel="00000000" w:rsidR="00000000" w:rsidRPr="00000000">
        <w:rPr>
          <w:rtl w:val="0"/>
        </w:rPr>
      </w:r>
    </w:p>
    <w:p w:rsidR="00000000" w:rsidDel="00000000" w:rsidP="00000000" w:rsidRDefault="00000000" w:rsidRPr="00000000" w14:paraId="0000010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Obstetric Care Consensus #11, Pregnancy at age 35 years or older - Novi AMS, otwierano: marca 4, 2026, </w:t>
      </w:r>
      <w:hyperlink r:id="rId44">
        <w:r w:rsidDel="00000000" w:rsidR="00000000" w:rsidRPr="00000000">
          <w:rPr>
            <w:rFonts w:ascii="Google Sans" w:cs="Google Sans" w:eastAsia="Google Sans" w:hAnsi="Google Sans"/>
            <w:color w:val="0000ee"/>
            <w:sz w:val="24"/>
            <w:szCs w:val="24"/>
            <w:u w:val="single"/>
            <w:rtl w:val="0"/>
          </w:rPr>
          <w:t xml:space="preserve">https://assets.noviams.com/novi-file-uploads/smfm/Publications_and_Guidelines/Joint_Documents/ACOG_SMFM_OCC__11_Pregnancy_at_age_35_years_or_older.pdf</w:t>
        </w:r>
      </w:hyperlink>
      <w:r w:rsidDel="00000000" w:rsidR="00000000" w:rsidRPr="00000000">
        <w:rPr>
          <w:rtl w:val="0"/>
        </w:rPr>
      </w:r>
    </w:p>
    <w:p w:rsidR="00000000" w:rsidDel="00000000" w:rsidP="00000000" w:rsidRDefault="00000000" w:rsidRPr="00000000" w14:paraId="0000010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Studies on risks of AMA pregnancy that specify exact age of the mother? - Reddit, otwierano: marca 4, 2026, </w:t>
      </w:r>
      <w:hyperlink r:id="rId45">
        <w:r w:rsidDel="00000000" w:rsidR="00000000" w:rsidRPr="00000000">
          <w:rPr>
            <w:rFonts w:ascii="Google Sans" w:cs="Google Sans" w:eastAsia="Google Sans" w:hAnsi="Google Sans"/>
            <w:color w:val="0000ee"/>
            <w:sz w:val="24"/>
            <w:szCs w:val="24"/>
            <w:u w:val="single"/>
            <w:rtl w:val="0"/>
          </w:rPr>
          <w:t xml:space="preserve">https://www.reddit.com/r/ScienceBasedParenting/comments/1jcxdwe/studies_on_risks_of_ama_pregnancy_that_specify/</w:t>
        </w:r>
      </w:hyperlink>
      <w:r w:rsidDel="00000000" w:rsidR="00000000" w:rsidRPr="00000000">
        <w:rPr>
          <w:rtl w:val="0"/>
        </w:rPr>
      </w:r>
    </w:p>
    <w:p w:rsidR="00000000" w:rsidDel="00000000" w:rsidP="00000000" w:rsidRDefault="00000000" w:rsidRPr="00000000" w14:paraId="0000010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Maternal Perinatal Outcomes Related to Advanced Maternal Age in Preeclampsia Pregnant Women - PMC, otwierano: marca 4, 2026, </w:t>
      </w:r>
      <w:hyperlink r:id="rId46">
        <w:r w:rsidDel="00000000" w:rsidR="00000000" w:rsidRPr="00000000">
          <w:rPr>
            <w:rFonts w:ascii="Google Sans" w:cs="Google Sans" w:eastAsia="Google Sans" w:hAnsi="Google Sans"/>
            <w:color w:val="0000ee"/>
            <w:sz w:val="24"/>
            <w:szCs w:val="24"/>
            <w:u w:val="single"/>
            <w:rtl w:val="0"/>
          </w:rPr>
          <w:t xml:space="preserve">https://pmc.ncbi.nlm.nih.gov/articles/PMC7264866/</w:t>
        </w:r>
      </w:hyperlink>
      <w:r w:rsidDel="00000000" w:rsidR="00000000" w:rsidRPr="00000000">
        <w:rPr>
          <w:rtl w:val="0"/>
        </w:rPr>
      </w:r>
    </w:p>
    <w:p w:rsidR="00000000" w:rsidDel="00000000" w:rsidP="00000000" w:rsidRDefault="00000000" w:rsidRPr="00000000" w14:paraId="0000010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QuickStats: Percentage of Mothers with Gestational Diabetes, by Maternal Age — National Vital Statistics System, United States, 2016 and 2021 | MMWR - CDC, otwierano: marca 4, 2026, </w:t>
      </w:r>
      <w:hyperlink r:id="rId47">
        <w:r w:rsidDel="00000000" w:rsidR="00000000" w:rsidRPr="00000000">
          <w:rPr>
            <w:rFonts w:ascii="Google Sans" w:cs="Google Sans" w:eastAsia="Google Sans" w:hAnsi="Google Sans"/>
            <w:color w:val="0000ee"/>
            <w:sz w:val="24"/>
            <w:szCs w:val="24"/>
            <w:u w:val="single"/>
            <w:rtl w:val="0"/>
          </w:rPr>
          <w:t xml:space="preserve">https://www.cdc.gov/mmwr/volumes/72/wr/mm7201a4.htm</w:t>
        </w:r>
      </w:hyperlink>
      <w:r w:rsidDel="00000000" w:rsidR="00000000" w:rsidRPr="00000000">
        <w:rPr>
          <w:rtl w:val="0"/>
        </w:rPr>
      </w:r>
    </w:p>
    <w:p w:rsidR="00000000" w:rsidDel="00000000" w:rsidP="00000000" w:rsidRDefault="00000000" w:rsidRPr="00000000" w14:paraId="0000010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National Vital Statistics Reports - CDC Stacks, otwierano: marca 4, 2026, </w:t>
      </w:r>
      <w:hyperlink r:id="rId48">
        <w:r w:rsidDel="00000000" w:rsidR="00000000" w:rsidRPr="00000000">
          <w:rPr>
            <w:rFonts w:ascii="Google Sans" w:cs="Google Sans" w:eastAsia="Google Sans" w:hAnsi="Google Sans"/>
            <w:color w:val="0000ee"/>
            <w:sz w:val="24"/>
            <w:szCs w:val="24"/>
            <w:u w:val="single"/>
            <w:rtl w:val="0"/>
          </w:rPr>
          <w:t xml:space="preserve">https://stacks.cdc.gov/view/cdc/231931/cdc_231931_DS1.pdf</w:t>
        </w:r>
      </w:hyperlink>
      <w:r w:rsidDel="00000000" w:rsidR="00000000" w:rsidRPr="00000000">
        <w:rPr>
          <w:rtl w:val="0"/>
        </w:rPr>
      </w:r>
    </w:p>
    <w:p w:rsidR="00000000" w:rsidDel="00000000" w:rsidP="00000000" w:rsidRDefault="00000000" w:rsidRPr="00000000" w14:paraId="0000010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Meta-Analysis: Refining Pregnancy Complication Risks Associated with Advanced Maternal Age - The ObG Project, otwierano: marca 4, 2026, </w:t>
      </w:r>
      <w:hyperlink r:id="rId49">
        <w:r w:rsidDel="00000000" w:rsidR="00000000" w:rsidRPr="00000000">
          <w:rPr>
            <w:rFonts w:ascii="Google Sans" w:cs="Google Sans" w:eastAsia="Google Sans" w:hAnsi="Google Sans"/>
            <w:color w:val="0000ee"/>
            <w:sz w:val="24"/>
            <w:szCs w:val="24"/>
            <w:u w:val="single"/>
            <w:rtl w:val="0"/>
          </w:rPr>
          <w:t xml:space="preserve">https://www.obgproject.com/2022/02/07/meta-analysis-refining-pregnancy-complication-risks-associated-with-advanced-maternal-age/</w:t>
        </w:r>
      </w:hyperlink>
      <w:r w:rsidDel="00000000" w:rsidR="00000000" w:rsidRPr="00000000">
        <w:rPr>
          <w:rtl w:val="0"/>
        </w:rPr>
      </w:r>
    </w:p>
    <w:p w:rsidR="00000000" w:rsidDel="00000000" w:rsidP="00000000" w:rsidRDefault="00000000" w:rsidRPr="00000000" w14:paraId="0000010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Rekomendacje Polskiego Towarzystwa Ginekologów i Położników dotyczące opieki okołoporodowej nad ciężarną nastolatką - Via Medica Journals, otwierano: marca 4, 2026, </w:t>
      </w:r>
      <w:hyperlink r:id="rId50">
        <w:r w:rsidDel="00000000" w:rsidR="00000000" w:rsidRPr="00000000">
          <w:rPr>
            <w:rFonts w:ascii="Google Sans" w:cs="Google Sans" w:eastAsia="Google Sans" w:hAnsi="Google Sans"/>
            <w:color w:val="0000ee"/>
            <w:sz w:val="24"/>
            <w:szCs w:val="24"/>
            <w:u w:val="single"/>
            <w:rtl w:val="0"/>
          </w:rPr>
          <w:t xml:space="preserve">https://journals.viamedica.pl/ginekologia_perinatologia_prakt/article/download/110018/86632</w:t>
        </w:r>
      </w:hyperlink>
      <w:r w:rsidDel="00000000" w:rsidR="00000000" w:rsidRPr="00000000">
        <w:rPr>
          <w:rtl w:val="0"/>
        </w:rPr>
      </w:r>
    </w:p>
    <w:p w:rsidR="00000000" w:rsidDel="00000000" w:rsidP="00000000" w:rsidRDefault="00000000" w:rsidRPr="00000000" w14:paraId="0000010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Genetic risk maternal age - Embryology - UNSW, otwierano: marca 4, 2026, </w:t>
      </w:r>
      <w:hyperlink r:id="rId51">
        <w:r w:rsidDel="00000000" w:rsidR="00000000" w:rsidRPr="00000000">
          <w:rPr>
            <w:rFonts w:ascii="Google Sans" w:cs="Google Sans" w:eastAsia="Google Sans" w:hAnsi="Google Sans"/>
            <w:color w:val="0000ee"/>
            <w:sz w:val="24"/>
            <w:szCs w:val="24"/>
            <w:u w:val="single"/>
            <w:rtl w:val="0"/>
          </w:rPr>
          <w:t xml:space="preserve">https://embryology.med.unsw.edu.au/embryology/index.php/Genetic_risk_maternal_age</w:t>
        </w:r>
      </w:hyperlink>
      <w:r w:rsidDel="00000000" w:rsidR="00000000" w:rsidRPr="00000000">
        <w:rPr>
          <w:rtl w:val="0"/>
        </w:rPr>
      </w:r>
    </w:p>
    <w:p w:rsidR="00000000" w:rsidDel="00000000" w:rsidP="00000000" w:rsidRDefault="00000000" w:rsidRPr="00000000" w14:paraId="0000010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Maternal Age Related Risk | CytoGenX, otwierano: marca 4, 2026, </w:t>
      </w:r>
      <w:hyperlink r:id="rId52">
        <w:r w:rsidDel="00000000" w:rsidR="00000000" w:rsidRPr="00000000">
          <w:rPr>
            <w:rFonts w:ascii="Google Sans" w:cs="Google Sans" w:eastAsia="Google Sans" w:hAnsi="Google Sans"/>
            <w:color w:val="0000ee"/>
            <w:sz w:val="24"/>
            <w:szCs w:val="24"/>
            <w:u w:val="single"/>
            <w:rtl w:val="0"/>
          </w:rPr>
          <w:t xml:space="preserve">https://cytogenx.com/wp-content/uploads/2024/12/Maternal-Age-Related-Risk-PDF.pdf</w:t>
        </w:r>
      </w:hyperlink>
      <w:r w:rsidDel="00000000" w:rsidR="00000000" w:rsidRPr="00000000">
        <w:rPr>
          <w:rtl w:val="0"/>
        </w:rPr>
      </w:r>
    </w:p>
    <w:p w:rsidR="00000000" w:rsidDel="00000000" w:rsidP="00000000" w:rsidRDefault="00000000" w:rsidRPr="00000000" w14:paraId="0000010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Cykle bezowulacyjne a dieta – czyli jak jeść, by zajść w ciążę - Gyncentrum, otwierano: marca 4, 2026, </w:t>
      </w:r>
      <w:hyperlink r:id="rId53">
        <w:r w:rsidDel="00000000" w:rsidR="00000000" w:rsidRPr="00000000">
          <w:rPr>
            <w:rFonts w:ascii="Google Sans" w:cs="Google Sans" w:eastAsia="Google Sans" w:hAnsi="Google Sans"/>
            <w:color w:val="0000ee"/>
            <w:sz w:val="24"/>
            <w:szCs w:val="24"/>
            <w:u w:val="single"/>
            <w:rtl w:val="0"/>
          </w:rPr>
          <w:t xml:space="preserve">https://gyncentrum.pl/strefa-wiedzy/ginekologia/cykle-bezowulacyjne-a-dieta-czyli-jak-jesc-by-zajsc-w-ciaze/</w:t>
        </w:r>
      </w:hyperlink>
      <w:r w:rsidDel="00000000" w:rsidR="00000000" w:rsidRPr="00000000">
        <w:rPr>
          <w:rtl w:val="0"/>
        </w:rPr>
      </w:r>
    </w:p>
    <w:p w:rsidR="00000000" w:rsidDel="00000000" w:rsidP="00000000" w:rsidRDefault="00000000" w:rsidRPr="00000000" w14:paraId="0000011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Cykl bezowulacyjny - objawy i wykres. Jak go rozpoznać? - Medme, otwierano: marca 4, 2026, </w:t>
      </w:r>
      <w:hyperlink r:id="rId54">
        <w:r w:rsidDel="00000000" w:rsidR="00000000" w:rsidRPr="00000000">
          <w:rPr>
            <w:rFonts w:ascii="Google Sans" w:cs="Google Sans" w:eastAsia="Google Sans" w:hAnsi="Google Sans"/>
            <w:color w:val="0000ee"/>
            <w:sz w:val="24"/>
            <w:szCs w:val="24"/>
            <w:u w:val="single"/>
            <w:rtl w:val="0"/>
          </w:rPr>
          <w:t xml:space="preserve">https://www.medme.pl/artykuly/cykl-bezowulacyjny-objawy-i-wykres,88355.html</w:t>
        </w:r>
      </w:hyperlink>
      <w:r w:rsidDel="00000000" w:rsidR="00000000" w:rsidRPr="00000000">
        <w:rPr>
          <w:rtl w:val="0"/>
        </w:rPr>
      </w:r>
    </w:p>
    <w:p w:rsidR="00000000" w:rsidDel="00000000" w:rsidP="00000000" w:rsidRDefault="00000000" w:rsidRPr="00000000" w14:paraId="0000011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Assessment of Anovulation in Eumenorrheic Women: Comparison of Ovulation Detection Algorithms - PMC, otwierano: marca 4, 2026, </w:t>
      </w:r>
      <w:hyperlink r:id="rId55">
        <w:r w:rsidDel="00000000" w:rsidR="00000000" w:rsidRPr="00000000">
          <w:rPr>
            <w:rFonts w:ascii="Google Sans" w:cs="Google Sans" w:eastAsia="Google Sans" w:hAnsi="Google Sans"/>
            <w:color w:val="0000ee"/>
            <w:sz w:val="24"/>
            <w:szCs w:val="24"/>
            <w:u w:val="single"/>
            <w:rtl w:val="0"/>
          </w:rPr>
          <w:t xml:space="preserve">https://pmc.ncbi.nlm.nih.gov/articles/PMC4119548/</w:t>
        </w:r>
      </w:hyperlink>
      <w:r w:rsidDel="00000000" w:rsidR="00000000" w:rsidRPr="00000000">
        <w:rPr>
          <w:rtl w:val="0"/>
        </w:rPr>
      </w:r>
    </w:p>
    <w:p w:rsidR="00000000" w:rsidDel="00000000" w:rsidP="00000000" w:rsidRDefault="00000000" w:rsidRPr="00000000" w14:paraId="0000011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Ovulation Prevalence in Women with Spontaneous Normal-Length Menstrual Cycles – A Population-Based Cohort from HUNT3, Norway - PMC, otwierano: marca 4, 2026, </w:t>
      </w:r>
      <w:hyperlink r:id="rId56">
        <w:r w:rsidDel="00000000" w:rsidR="00000000" w:rsidRPr="00000000">
          <w:rPr>
            <w:rFonts w:ascii="Google Sans" w:cs="Google Sans" w:eastAsia="Google Sans" w:hAnsi="Google Sans"/>
            <w:color w:val="0000ee"/>
            <w:sz w:val="24"/>
            <w:szCs w:val="24"/>
            <w:u w:val="single"/>
            <w:rtl w:val="0"/>
          </w:rPr>
          <w:t xml:space="preserve">https://pmc.ncbi.nlm.nih.gov/articles/PMC4546331/</w:t>
        </w:r>
      </w:hyperlink>
      <w:r w:rsidDel="00000000" w:rsidR="00000000" w:rsidRPr="00000000">
        <w:rPr>
          <w:rtl w:val="0"/>
        </w:rPr>
      </w:r>
    </w:p>
    <w:p w:rsidR="00000000" w:rsidDel="00000000" w:rsidP="00000000" w:rsidRDefault="00000000" w:rsidRPr="00000000" w14:paraId="0000011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Cykl bezowulacyjny – kiedy jest normą, a kiedy wymaga diagnostyki? - HelloZdrowie, otwierano: marca 4, 2026, </w:t>
      </w:r>
      <w:hyperlink r:id="rId57">
        <w:r w:rsidDel="00000000" w:rsidR="00000000" w:rsidRPr="00000000">
          <w:rPr>
            <w:rFonts w:ascii="Google Sans" w:cs="Google Sans" w:eastAsia="Google Sans" w:hAnsi="Google Sans"/>
            <w:color w:val="0000ee"/>
            <w:sz w:val="24"/>
            <w:szCs w:val="24"/>
            <w:u w:val="single"/>
            <w:rtl w:val="0"/>
          </w:rPr>
          <w:t xml:space="preserve">https://www.hellozdrowie.pl/cykl-bezowulacyjny-przyczyny-diagnostyka-leczenie-problemow-z-owulacja/</w:t>
        </w:r>
      </w:hyperlink>
      <w:r w:rsidDel="00000000" w:rsidR="00000000" w:rsidRPr="00000000">
        <w:rPr>
          <w:rtl w:val="0"/>
        </w:rPr>
      </w:r>
    </w:p>
    <w:p w:rsidR="00000000" w:rsidDel="00000000" w:rsidP="00000000" w:rsidRDefault="00000000" w:rsidRPr="00000000" w14:paraId="0000011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Gdy jajeczko się nie uwalnia - czyli wszystko o cyklach bezowulacyjnych - holsäMED, otwierano: marca 4, 2026, </w:t>
      </w:r>
      <w:hyperlink r:id="rId58">
        <w:r w:rsidDel="00000000" w:rsidR="00000000" w:rsidRPr="00000000">
          <w:rPr>
            <w:rFonts w:ascii="Google Sans" w:cs="Google Sans" w:eastAsia="Google Sans" w:hAnsi="Google Sans"/>
            <w:color w:val="0000ee"/>
            <w:sz w:val="24"/>
            <w:szCs w:val="24"/>
            <w:u w:val="single"/>
            <w:rtl w:val="0"/>
          </w:rPr>
          <w:t xml:space="preserve">https://holsamed.pl/gdy-jajeczko-sie-nie-uwalnia-czyli-wszystko-o-cyklach-bezowulacyjnych/</w:t>
        </w:r>
      </w:hyperlink>
      <w:r w:rsidDel="00000000" w:rsidR="00000000" w:rsidRPr="00000000">
        <w:rPr>
          <w:rtl w:val="0"/>
        </w:rPr>
      </w:r>
    </w:p>
    <w:p w:rsidR="00000000" w:rsidDel="00000000" w:rsidP="00000000" w:rsidRDefault="00000000" w:rsidRPr="00000000" w14:paraId="0000011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NIH Public Access - Trumble Lab, otwierano: marca 4, 2026, </w:t>
      </w:r>
      <w:hyperlink r:id="rId59">
        <w:r w:rsidDel="00000000" w:rsidR="00000000" w:rsidRPr="00000000">
          <w:rPr>
            <w:rFonts w:ascii="Google Sans" w:cs="Google Sans" w:eastAsia="Google Sans" w:hAnsi="Google Sans"/>
            <w:color w:val="0000ee"/>
            <w:sz w:val="24"/>
            <w:szCs w:val="24"/>
            <w:u w:val="single"/>
            <w:rtl w:val="0"/>
          </w:rPr>
          <w:t xml:space="preserve">https://trumblelab.org/wp-content/uploads/2016/10/nihms126567.pdf</w:t>
        </w:r>
      </w:hyperlink>
      <w:r w:rsidDel="00000000" w:rsidR="00000000" w:rsidRPr="00000000">
        <w:rPr>
          <w:rtl w:val="0"/>
        </w:rPr>
      </w:r>
    </w:p>
    <w:p w:rsidR="00000000" w:rsidDel="00000000" w:rsidP="00000000" w:rsidRDefault="00000000" w:rsidRPr="00000000" w14:paraId="0000011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Factors Affecting Fertility, otwierano: marca 4, 2026, </w:t>
      </w:r>
      <w:hyperlink r:id="rId60">
        <w:r w:rsidDel="00000000" w:rsidR="00000000" w:rsidRPr="00000000">
          <w:rPr>
            <w:rFonts w:ascii="Google Sans" w:cs="Google Sans" w:eastAsia="Google Sans" w:hAnsi="Google Sans"/>
            <w:color w:val="0000ee"/>
            <w:sz w:val="24"/>
            <w:szCs w:val="24"/>
            <w:u w:val="single"/>
            <w:rtl w:val="0"/>
          </w:rPr>
          <w:t xml:space="preserve">https://fertilitynetworkuk.org/learn-about-fertility/factors-affecting-fertility/</w:t>
        </w:r>
      </w:hyperlink>
      <w:r w:rsidDel="00000000" w:rsidR="00000000" w:rsidRPr="00000000">
        <w:rPr>
          <w:rtl w:val="0"/>
        </w:rPr>
      </w:r>
    </w:p>
    <w:p w:rsidR="00000000" w:rsidDel="00000000" w:rsidP="00000000" w:rsidRDefault="00000000" w:rsidRPr="00000000" w14:paraId="0000011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 among women and men, time to pregnancy and risk of ..., otwierano: marca 4, 2026, </w:t>
      </w:r>
      <w:hyperlink r:id="rId61">
        <w:r w:rsidDel="00000000" w:rsidR="00000000" w:rsidRPr="00000000">
          <w:rPr>
            <w:rFonts w:ascii="Google Sans" w:cs="Google Sans" w:eastAsia="Google Sans" w:hAnsi="Google Sans"/>
            <w:color w:val="0000ee"/>
            <w:sz w:val="24"/>
            <w:szCs w:val="24"/>
            <w:u w:val="single"/>
            <w:rtl w:val="0"/>
          </w:rPr>
          <w:t xml:space="preserve">https://pmc.ncbi.nlm.nih.gov/articles/PMC12625503/</w:t>
        </w:r>
      </w:hyperlink>
      <w:r w:rsidDel="00000000" w:rsidR="00000000" w:rsidRPr="00000000">
        <w:rPr>
          <w:rtl w:val="0"/>
        </w:rPr>
      </w:r>
    </w:p>
    <w:p w:rsidR="00000000" w:rsidDel="00000000" w:rsidP="00000000" w:rsidRDefault="00000000" w:rsidRPr="00000000" w14:paraId="0000011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Skuteczność zabiegów in vitro - Invimed, otwierano: marca 4, 2026, </w:t>
      </w:r>
      <w:hyperlink r:id="rId62">
        <w:r w:rsidDel="00000000" w:rsidR="00000000" w:rsidRPr="00000000">
          <w:rPr>
            <w:rFonts w:ascii="Google Sans" w:cs="Google Sans" w:eastAsia="Google Sans" w:hAnsi="Google Sans"/>
            <w:color w:val="0000ee"/>
            <w:sz w:val="24"/>
            <w:szCs w:val="24"/>
            <w:u w:val="single"/>
            <w:rtl w:val="0"/>
          </w:rPr>
          <w:t xml:space="preserve">https://invimed.pl/in-vitro/skutecznosc-zabiegow-in-vitro</w:t>
        </w:r>
      </w:hyperlink>
      <w:r w:rsidDel="00000000" w:rsidR="00000000" w:rsidRPr="00000000">
        <w:rPr>
          <w:rtl w:val="0"/>
        </w:rPr>
      </w:r>
    </w:p>
    <w:p w:rsidR="00000000" w:rsidDel="00000000" w:rsidP="00000000" w:rsidRDefault="00000000" w:rsidRPr="00000000" w14:paraId="0000011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Statystyki leczenia niepłodności - Gyncentrum, otwierano: marca 4, 2026, </w:t>
      </w:r>
      <w:hyperlink r:id="rId63">
        <w:r w:rsidDel="00000000" w:rsidR="00000000" w:rsidRPr="00000000">
          <w:rPr>
            <w:rFonts w:ascii="Google Sans" w:cs="Google Sans" w:eastAsia="Google Sans" w:hAnsi="Google Sans"/>
            <w:color w:val="0000ee"/>
            <w:sz w:val="24"/>
            <w:szCs w:val="24"/>
            <w:u w:val="single"/>
            <w:rtl w:val="0"/>
          </w:rPr>
          <w:t xml:space="preserve">https://gyncentrum.pl/statystyki/</w:t>
        </w:r>
      </w:hyperlink>
      <w:r w:rsidDel="00000000" w:rsidR="00000000" w:rsidRPr="00000000">
        <w:rPr>
          <w:rtl w:val="0"/>
        </w:rPr>
      </w:r>
    </w:p>
    <w:p w:rsidR="00000000" w:rsidDel="00000000" w:rsidP="00000000" w:rsidRDefault="00000000" w:rsidRPr="00000000" w14:paraId="0000011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Macierzyństwo u młodocianych • Nowa Medycyna 1/2004 • Czytelnia Medyczna BORGIS, otwierano: marca 4, 2026, </w:t>
      </w:r>
      <w:hyperlink r:id="rId64">
        <w:r w:rsidDel="00000000" w:rsidR="00000000" w:rsidRPr="00000000">
          <w:rPr>
            <w:rFonts w:ascii="Google Sans" w:cs="Google Sans" w:eastAsia="Google Sans" w:hAnsi="Google Sans"/>
            <w:color w:val="0000ee"/>
            <w:sz w:val="24"/>
            <w:szCs w:val="24"/>
            <w:u w:val="single"/>
            <w:rtl w:val="0"/>
          </w:rPr>
          <w:t xml:space="preserve">https://www.czytelniamedyczna.pl/1399,macierzynstwo-u-mlodocianych.html</w:t>
        </w:r>
      </w:hyperlink>
      <w:r w:rsidDel="00000000" w:rsidR="00000000" w:rsidRPr="00000000">
        <w:rPr>
          <w:rtl w:val="0"/>
        </w:rPr>
      </w:r>
    </w:p>
    <w:p w:rsidR="00000000" w:rsidDel="00000000" w:rsidP="00000000" w:rsidRDefault="00000000" w:rsidRPr="00000000" w14:paraId="0000011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MINISTER ZDROWIA - Gov.pl, otwierano: marca 4, 2026, </w:t>
      </w:r>
      <w:hyperlink r:id="rId65">
        <w:r w:rsidDel="00000000" w:rsidR="00000000" w:rsidRPr="00000000">
          <w:rPr>
            <w:rFonts w:ascii="Google Sans" w:cs="Google Sans" w:eastAsia="Google Sans" w:hAnsi="Google Sans"/>
            <w:color w:val="0000ee"/>
            <w:sz w:val="24"/>
            <w:szCs w:val="24"/>
            <w:u w:val="single"/>
            <w:rtl w:val="0"/>
          </w:rPr>
          <w:t xml:space="preserve">https://www.gov.pl/attachment/6ed9616c-adf8-4000-8ff8-23fbbe272deb</w:t>
        </w:r>
      </w:hyperlink>
      <w:r w:rsidDel="00000000" w:rsidR="00000000" w:rsidRPr="00000000">
        <w:rPr>
          <w:rtl w:val="0"/>
        </w:rPr>
      </w:r>
    </w:p>
    <w:p w:rsidR="00000000" w:rsidDel="00000000" w:rsidP="00000000" w:rsidRDefault="00000000" w:rsidRPr="00000000" w14:paraId="0000011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PROGRAM POLITYKI ZDROWOTNEJ Leczenie niepłodności obejmujące procedury medycznie wspomaganej prokreacji, w tym - Gov.pl, otwierano: marca 4, 2026, </w:t>
      </w:r>
      <w:hyperlink r:id="rId66">
        <w:r w:rsidDel="00000000" w:rsidR="00000000" w:rsidRPr="00000000">
          <w:rPr>
            <w:rFonts w:ascii="Google Sans" w:cs="Google Sans" w:eastAsia="Google Sans" w:hAnsi="Google Sans"/>
            <w:color w:val="0000ee"/>
            <w:sz w:val="24"/>
            <w:szCs w:val="24"/>
            <w:u w:val="single"/>
            <w:rtl w:val="0"/>
          </w:rPr>
          <w:t xml:space="preserve">https://www.gov.pl/attachment/a07cebde-7532-4a48-a764-21ff84ef8977</w:t>
        </w:r>
      </w:hyperlink>
      <w:r w:rsidDel="00000000" w:rsidR="00000000" w:rsidRPr="00000000">
        <w:rPr>
          <w:rtl w:val="0"/>
        </w:rPr>
      </w:r>
    </w:p>
    <w:p w:rsidR="00000000" w:rsidDel="00000000" w:rsidP="00000000" w:rsidRDefault="00000000" w:rsidRPr="00000000" w14:paraId="0000011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Diagnostyka i leczenie niepłodności — rekomendacje Polskiego Towarzystwa Medycyny Rozrodu i Embriologii (PTMRiE) oraz Polski, otwierano: marca 4, 2026, </w:t>
      </w:r>
      <w:hyperlink r:id="rId67">
        <w:r w:rsidDel="00000000" w:rsidR="00000000" w:rsidRPr="00000000">
          <w:rPr>
            <w:rFonts w:ascii="Google Sans" w:cs="Google Sans" w:eastAsia="Google Sans" w:hAnsi="Google Sans"/>
            <w:color w:val="0000ee"/>
            <w:sz w:val="24"/>
            <w:szCs w:val="24"/>
            <w:u w:val="single"/>
            <w:rtl w:val="0"/>
          </w:rPr>
          <w:t xml:space="preserve">https://journals.viamedica.pl/ginekologia_perinatologia_prakt/article/download/60457/46925</w:t>
        </w:r>
      </w:hyperlink>
      <w:r w:rsidDel="00000000" w:rsidR="00000000" w:rsidRPr="00000000">
        <w:rPr>
          <w:rtl w:val="0"/>
        </w:rPr>
      </w:r>
    </w:p>
    <w:p w:rsidR="00000000" w:rsidDel="00000000" w:rsidP="00000000" w:rsidRDefault="00000000" w:rsidRPr="00000000" w14:paraId="0000011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Komentarz do rekomendacji PTMRiE oraz PTGP „Diagnostyka i leczenie niepłodności”. Cz. I: Diagnostyka wstępna - Medycyna Praktyczna, otwierano: marca 4, 2026, </w:t>
      </w:r>
      <w:hyperlink r:id="rId68">
        <w:r w:rsidDel="00000000" w:rsidR="00000000" w:rsidRPr="00000000">
          <w:rPr>
            <w:rFonts w:ascii="Google Sans" w:cs="Google Sans" w:eastAsia="Google Sans" w:hAnsi="Google Sans"/>
            <w:color w:val="0000ee"/>
            <w:sz w:val="24"/>
            <w:szCs w:val="24"/>
            <w:u w:val="single"/>
            <w:rtl w:val="0"/>
          </w:rPr>
          <w:t xml:space="preserve">https://www.mp.pl/ginekologia/wytyczne/inne/206721,diagnostyka-i-leczenie-nieplodnosci</w:t>
        </w:r>
      </w:hyperlink>
      <w:r w:rsidDel="00000000" w:rsidR="00000000" w:rsidRPr="00000000">
        <w:rPr>
          <w:rtl w:val="0"/>
        </w:rPr>
      </w:r>
    </w:p>
    <w:p w:rsidR="00000000" w:rsidDel="00000000" w:rsidP="00000000" w:rsidRDefault="00000000" w:rsidRPr="00000000" w14:paraId="0000011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Diagnostyka i leczenie niepłodności – rekomendacje Polskiego Towarzystwa Medycyny Rozrodu i Embriologii (PTMRiE) oraz Pols, otwierano: marca 4, 2026, </w:t>
      </w:r>
      <w:hyperlink r:id="rId69">
        <w:r w:rsidDel="00000000" w:rsidR="00000000" w:rsidRPr="00000000">
          <w:rPr>
            <w:rFonts w:ascii="Google Sans" w:cs="Google Sans" w:eastAsia="Google Sans" w:hAnsi="Google Sans"/>
            <w:color w:val="0000ee"/>
            <w:sz w:val="24"/>
            <w:szCs w:val="24"/>
            <w:u w:val="single"/>
            <w:rtl w:val="0"/>
          </w:rPr>
          <w:t xml:space="preserve">https://ptmrie.org.pl/pliki/akty-prawne-i-rekomendacje/rekomentacje/Diagnostyka%20i%20leczenie%20niep%C5%82odno%C5%9Bci%20-%20rekomendacje%20PTMRiE%20i%20PTGP%202018.pdf</w:t>
        </w:r>
      </w:hyperlink>
      <w:r w:rsidDel="00000000" w:rsidR="00000000" w:rsidRPr="00000000">
        <w:rPr>
          <w:rtl w:val="0"/>
        </w:rPr>
      </w:r>
    </w:p>
    <w:p w:rsidR="00000000" w:rsidDel="00000000" w:rsidP="00000000" w:rsidRDefault="00000000" w:rsidRPr="00000000" w14:paraId="0000012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Rekomendacje dotyczące diagnostyki i leczenia niepłodności – skrót, otwierano: marca 4, 2026, </w:t>
      </w:r>
      <w:hyperlink r:id="rId70">
        <w:r w:rsidDel="00000000" w:rsidR="00000000" w:rsidRPr="00000000">
          <w:rPr>
            <w:rFonts w:ascii="Google Sans" w:cs="Google Sans" w:eastAsia="Google Sans" w:hAnsi="Google Sans"/>
            <w:color w:val="0000ee"/>
            <w:sz w:val="24"/>
            <w:szCs w:val="24"/>
            <w:u w:val="single"/>
            <w:rtl w:val="0"/>
          </w:rPr>
          <w:t xml:space="preserve">https://www.ptgin.pl/sites/scm/files/2021-09/02.2012%20-W%20TRAKCIE%20AKTUALIZACJI%20-%20Diagnostyka%20i%20leczenie%20niep%C5%82odno%C5%9Bci%20%28skr%C3%B3t%29.pdf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apteline.pl/artykuly/przygotowania-do-ciazy-w-wieku-20-30-i-40-lat" TargetMode="External"/><Relationship Id="rId42" Type="http://schemas.openxmlformats.org/officeDocument/2006/relationships/hyperlink" Target="https://www.umb.edu.pl/photo/pliki/WNoZ_jednostki/wnoz-z-zintegrowanej-opieki-medycznej/monografie/przebieg_ciazy_i_porodu_u_matek_mlodocianych_w_polsce_i_na_bialorusi.pdf" TargetMode="External"/><Relationship Id="rId41" Type="http://schemas.openxmlformats.org/officeDocument/2006/relationships/hyperlink" Target="https://pmc.ncbi.nlm.nih.gov/articles/PMC4893975/" TargetMode="External"/><Relationship Id="rId44" Type="http://schemas.openxmlformats.org/officeDocument/2006/relationships/hyperlink" Target="https://assets.noviams.com/novi-file-uploads/smfm/Publications_and_Guidelines/Joint_Documents/ACOG_SMFM_OCC__11_Pregnancy_at_age_35_years_or_older.pdf" TargetMode="External"/><Relationship Id="rId43" Type="http://schemas.openxmlformats.org/officeDocument/2006/relationships/hyperlink" Target="https://my.clevelandclinic.org/health/diseases/22438-advanced-maternal-age" TargetMode="External"/><Relationship Id="rId46" Type="http://schemas.openxmlformats.org/officeDocument/2006/relationships/hyperlink" Target="https://pmc.ncbi.nlm.nih.gov/articles/PMC7264866/" TargetMode="External"/><Relationship Id="rId45" Type="http://schemas.openxmlformats.org/officeDocument/2006/relationships/hyperlink" Target="https://www.reddit.com/r/ScienceBasedParenting/comments/1jcxdwe/studies_on_risks_of_ama_pregnancy_that_specif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48" Type="http://schemas.openxmlformats.org/officeDocument/2006/relationships/hyperlink" Target="https://stacks.cdc.gov/view/cdc/231931/cdc_231931_DS1.pdf" TargetMode="External"/><Relationship Id="rId47" Type="http://schemas.openxmlformats.org/officeDocument/2006/relationships/hyperlink" Target="https://www.cdc.gov/mmwr/volumes/72/wr/mm7201a4.htm" TargetMode="External"/><Relationship Id="rId49" Type="http://schemas.openxmlformats.org/officeDocument/2006/relationships/hyperlink" Target="https://www.obgproject.com/2022/02/07/meta-analysis-refining-pregnancy-complication-risks-associated-with-advanced-maternal-age/"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4.png"/><Relationship Id="rId31" Type="http://schemas.openxmlformats.org/officeDocument/2006/relationships/hyperlink" Target="https://recepta.pl/artykuly/kalkulator-szansy-na-zajscie-w-ciaze-jak-wiek-wplywa-na-plodnosc" TargetMode="External"/><Relationship Id="rId30" Type="http://schemas.openxmlformats.org/officeDocument/2006/relationships/hyperlink" Target="https://www.merckmanuals.com/professional/multimedia/table/maternal-age-and-risk-of-having-a-baby-with-a-chromosomal-abnormality" TargetMode="External"/><Relationship Id="rId33" Type="http://schemas.openxmlformats.org/officeDocument/2006/relationships/hyperlink" Target="https://tfp-fertility.com/pl-pl/blog/pozne-macierzynstwo-szanse-na-zajscie-w-ciaze-po-40" TargetMode="External"/><Relationship Id="rId32" Type="http://schemas.openxmlformats.org/officeDocument/2006/relationships/hyperlink" Target="https://www.nashvillefertility.com/when-do-egg-quality-and-quantity-decline/" TargetMode="External"/><Relationship Id="rId35" Type="http://schemas.openxmlformats.org/officeDocument/2006/relationships/hyperlink" Target="https://www.eshre.eu/-/media/sitecore-files/SIGs/GSCA/IRHEC/Leaflets/ESHRE---Female-fertility-and-age.pdf" TargetMode="External"/><Relationship Id="rId34" Type="http://schemas.openxmlformats.org/officeDocument/2006/relationships/hyperlink" Target="https://nasz-bocian.pl/artykul/wiek-kobiety-plodnosc" TargetMode="External"/><Relationship Id="rId70" Type="http://schemas.openxmlformats.org/officeDocument/2006/relationships/hyperlink" Target="https://www.ptgin.pl/sites/scm/files/2021-09/02.2012%20-W%20TRAKCIE%20AKTUALIZACJI%20-%20Diagnostyka%20i%20leczenie%20niep%C5%82odno%C5%9Bci%20%28skr%C3%B3t%29.pdf" TargetMode="External"/><Relationship Id="rId37" Type="http://schemas.openxmlformats.org/officeDocument/2006/relationships/hyperlink" Target="https://my.clevelandclinic.org/health/diagnostics/25142-ovarian-reserve-testing" TargetMode="External"/><Relationship Id="rId36" Type="http://schemas.openxmlformats.org/officeDocument/2006/relationships/hyperlink" Target="https://www.reproductivefacts.org/news-and-publications/fact-sheets-and-infographics/ovarian-reserve-predicting-fertility-potential-in-women/" TargetMode="External"/><Relationship Id="rId39" Type="http://schemas.openxmlformats.org/officeDocument/2006/relationships/hyperlink" Target="https://leki.pl/na/nieplodnosc-kobieca/epidemiologia/" TargetMode="External"/><Relationship Id="rId38" Type="http://schemas.openxmlformats.org/officeDocument/2006/relationships/hyperlink" Target="https://pmc.ncbi.nlm.nih.gov/articles/PMC3784117/" TargetMode="External"/><Relationship Id="rId62" Type="http://schemas.openxmlformats.org/officeDocument/2006/relationships/hyperlink" Target="https://invimed.pl/in-vitro/skutecznosc-zabiegow-in-vitro" TargetMode="External"/><Relationship Id="rId61" Type="http://schemas.openxmlformats.org/officeDocument/2006/relationships/hyperlink" Target="https://pmc.ncbi.nlm.nih.gov/articles/PMC12625503/" TargetMode="External"/><Relationship Id="rId20" Type="http://schemas.openxmlformats.org/officeDocument/2006/relationships/hyperlink" Target="https://www.mjakmama24.pl/przed-ciaza/problemy/plodnosc-a-wiek-jakie-sa-szanse-na-ciaze-po-20-30-i-40-roku-zycia-aa-3Kh5-xiSg-WB4b.html" TargetMode="External"/><Relationship Id="rId64" Type="http://schemas.openxmlformats.org/officeDocument/2006/relationships/hyperlink" Target="https://www.czytelniamedyczna.pl/1399,macierzynstwo-u-mlodocianych.html" TargetMode="External"/><Relationship Id="rId63" Type="http://schemas.openxmlformats.org/officeDocument/2006/relationships/hyperlink" Target="https://gyncentrum.pl/statystyki/" TargetMode="External"/><Relationship Id="rId22" Type="http://schemas.openxmlformats.org/officeDocument/2006/relationships/hyperlink" Target="https://www.termedia.pl/Fertility-in-women-in-premenopausal-age,4,194,1,1.html" TargetMode="External"/><Relationship Id="rId66" Type="http://schemas.openxmlformats.org/officeDocument/2006/relationships/hyperlink" Target="https://www.gov.pl/attachment/a07cebde-7532-4a48-a764-21ff84ef8977" TargetMode="External"/><Relationship Id="rId21" Type="http://schemas.openxmlformats.org/officeDocument/2006/relationships/hyperlink" Target="https://klinikabocian.pl/wiedza/artykul/jak-wiek-kobiety-wplywa-na-plodnosc" TargetMode="External"/><Relationship Id="rId65" Type="http://schemas.openxmlformats.org/officeDocument/2006/relationships/hyperlink" Target="https://www.gov.pl/attachment/6ed9616c-adf8-4000-8ff8-23fbbe272deb" TargetMode="External"/><Relationship Id="rId24" Type="http://schemas.openxmlformats.org/officeDocument/2006/relationships/hyperlink" Target="https://progyny.com/education/female-infertility/ovarian-reserve/" TargetMode="External"/><Relationship Id="rId68" Type="http://schemas.openxmlformats.org/officeDocument/2006/relationships/hyperlink" Target="https://www.mp.pl/ginekologia/wytyczne/inne/206721,diagnostyka-i-leczenie-nieplodnosci" TargetMode="External"/><Relationship Id="rId23" Type="http://schemas.openxmlformats.org/officeDocument/2006/relationships/hyperlink" Target="http://www.h-ph.pl/pdf/hyg-2019/hyg-2019-3-173.pdf" TargetMode="External"/><Relationship Id="rId67" Type="http://schemas.openxmlformats.org/officeDocument/2006/relationships/hyperlink" Target="https://journals.viamedica.pl/ginekologia_perinatologia_prakt/article/download/60457/46925" TargetMode="External"/><Relationship Id="rId60" Type="http://schemas.openxmlformats.org/officeDocument/2006/relationships/hyperlink" Target="https://fertilitynetworkuk.org/learn-about-fertility/factors-affecting-fertility/" TargetMode="External"/><Relationship Id="rId26" Type="http://schemas.openxmlformats.org/officeDocument/2006/relationships/hyperlink" Target="https://extendfertility.com/your-fertility/fertility-statistics-by-age/" TargetMode="External"/><Relationship Id="rId25" Type="http://schemas.openxmlformats.org/officeDocument/2006/relationships/hyperlink" Target="https://klinikainvicta.pl/invictopedia/cykl-bezowulacyjny-jakie-objawy-przyczyny-i-leczenie/" TargetMode="External"/><Relationship Id="rId69" Type="http://schemas.openxmlformats.org/officeDocument/2006/relationships/hyperlink" Target="https://ptmrie.org.pl/pliki/akty-prawne-i-rekomendacje/rekomentacje/Diagnostyka%20i%20leczenie%20niep%C5%82odno%C5%9Bci%20-%20rekomendacje%20PTMRiE%20i%20PTGP%202018.pdf" TargetMode="External"/><Relationship Id="rId28" Type="http://schemas.openxmlformats.org/officeDocument/2006/relationships/hyperlink" Target="https://parens.pl/leczenie-co-warto-wiedziec/ile-przecietna-para-stara-sie-o-dziecko/" TargetMode="External"/><Relationship Id="rId27" Type="http://schemas.openxmlformats.org/officeDocument/2006/relationships/hyperlink" Target="https://klinikainvicta.pl/blog/ciaza-po-30-stce-jakie-szanse-na-co-uwazac/" TargetMode="External"/><Relationship Id="rId29" Type="http://schemas.openxmlformats.org/officeDocument/2006/relationships/hyperlink" Target="https://evidencebasedbirth.com/advanced-maternal-age/" TargetMode="External"/><Relationship Id="rId51" Type="http://schemas.openxmlformats.org/officeDocument/2006/relationships/hyperlink" Target="https://embryology.med.unsw.edu.au/embryology/index.php/Genetic_risk_maternal_age" TargetMode="External"/><Relationship Id="rId50" Type="http://schemas.openxmlformats.org/officeDocument/2006/relationships/hyperlink" Target="https://journals.viamedica.pl/ginekologia_perinatologia_prakt/article/download/110018/86632" TargetMode="External"/><Relationship Id="rId53" Type="http://schemas.openxmlformats.org/officeDocument/2006/relationships/hyperlink" Target="https://gyncentrum.pl/strefa-wiedzy/ginekologia/cykle-bezowulacyjne-a-dieta-czyli-jak-jesc-by-zajsc-w-ciaze/" TargetMode="External"/><Relationship Id="rId52" Type="http://schemas.openxmlformats.org/officeDocument/2006/relationships/hyperlink" Target="https://cytogenx.com/wp-content/uploads/2024/12/Maternal-Age-Related-Risk-PDF.pdf" TargetMode="External"/><Relationship Id="rId11" Type="http://schemas.openxmlformats.org/officeDocument/2006/relationships/image" Target="media/image5.png"/><Relationship Id="rId55" Type="http://schemas.openxmlformats.org/officeDocument/2006/relationships/hyperlink" Target="https://pmc.ncbi.nlm.nih.gov/articles/PMC4119548/" TargetMode="External"/><Relationship Id="rId10" Type="http://schemas.openxmlformats.org/officeDocument/2006/relationships/image" Target="media/image6.png"/><Relationship Id="rId54" Type="http://schemas.openxmlformats.org/officeDocument/2006/relationships/hyperlink" Target="https://www.medme.pl/artykuly/cykl-bezowulacyjny-objawy-i-wykres,88355.html" TargetMode="External"/><Relationship Id="rId13" Type="http://schemas.openxmlformats.org/officeDocument/2006/relationships/hyperlink" Target="https://pmc.ncbi.nlm.nih.gov/articles/PMC8769179/" TargetMode="External"/><Relationship Id="rId57" Type="http://schemas.openxmlformats.org/officeDocument/2006/relationships/hyperlink" Target="https://www.hellozdrowie.pl/cykl-bezowulacyjny-przyczyny-diagnostyka-leczenie-problemow-z-owulacja/" TargetMode="External"/><Relationship Id="rId12" Type="http://schemas.openxmlformats.org/officeDocument/2006/relationships/image" Target="media/image7.png"/><Relationship Id="rId56" Type="http://schemas.openxmlformats.org/officeDocument/2006/relationships/hyperlink" Target="https://pmc.ncbi.nlm.nih.gov/articles/PMC4546331/" TargetMode="External"/><Relationship Id="rId15" Type="http://schemas.openxmlformats.org/officeDocument/2006/relationships/hyperlink" Target="https://www.nationalacademies.org/read/10654/chapter/13" TargetMode="External"/><Relationship Id="rId59" Type="http://schemas.openxmlformats.org/officeDocument/2006/relationships/hyperlink" Target="https://trumblelab.org/wp-content/uploads/2016/10/nihms126567.pdf" TargetMode="External"/><Relationship Id="rId14" Type="http://schemas.openxmlformats.org/officeDocument/2006/relationships/hyperlink" Target="https://study.com/academy/lesson/fecundity-vs-fertility-definition-lesson-quiz.html" TargetMode="External"/><Relationship Id="rId58" Type="http://schemas.openxmlformats.org/officeDocument/2006/relationships/hyperlink" Target="https://holsamed.pl/gdy-jajeczko-sie-nie-uwalnia-czyli-wszystko-o-cyklach-bezowulacyjnych/" TargetMode="External"/><Relationship Id="rId17" Type="http://schemas.openxmlformats.org/officeDocument/2006/relationships/hyperlink" Target="https://pmc.ncbi.nlm.nih.gov/articles/PMC5712257/" TargetMode="External"/><Relationship Id="rId16" Type="http://schemas.openxmlformats.org/officeDocument/2006/relationships/hyperlink" Target="https://www.britannica.com/science/population-biology-and-anthropology/Biological-factors-affecting-human-fertility" TargetMode="External"/><Relationship Id="rId19" Type="http://schemas.openxmlformats.org/officeDocument/2006/relationships/hyperlink" Target="https://gyncentrum.pl/strefa-wiedzy/ginekologia/wiek-komorki-jajowej-jak-wplywa-na-plodnosc-kobiety/" TargetMode="External"/><Relationship Id="rId18" Type="http://schemas.openxmlformats.org/officeDocument/2006/relationships/hyperlink" Target="https://klinikainvicta.pl/blog/plodnosc-a-wie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