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D4C7" w14:textId="20D7CD4B" w:rsidR="00B513E3" w:rsidRDefault="00B513E3" w:rsidP="00B513E3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color w:val="0073FF"/>
          <w:sz w:val="24"/>
          <w:szCs w:val="24"/>
        </w:rPr>
      </w:pPr>
      <w:r w:rsidRPr="00B513E3">
        <w:rPr>
          <w:rFonts w:ascii="HelveticaNeueLTStd-Bd" w:hAnsi="HelveticaNeueLTStd-Bd" w:cs="HelveticaNeueLTStd-Bd"/>
          <w:b/>
          <w:bCs/>
          <w:color w:val="0073FF"/>
          <w:sz w:val="24"/>
          <w:szCs w:val="24"/>
        </w:rPr>
        <w:t>BOARD OF DIRECTORS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3E3" w14:paraId="6281452B" w14:textId="77777777" w:rsidTr="00B513E3">
        <w:tc>
          <w:tcPr>
            <w:tcW w:w="9016" w:type="dxa"/>
          </w:tcPr>
          <w:p w14:paraId="3D08710B" w14:textId="7E92421F" w:rsidR="00B513E3" w:rsidRPr="00B513E3" w:rsidRDefault="00B513E3" w:rsidP="00B513E3">
            <w:pPr>
              <w:autoSpaceDE w:val="0"/>
              <w:autoSpaceDN w:val="0"/>
              <w:adjustRightInd w:val="0"/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</w:pPr>
            <w:r w:rsidRPr="00B513E3"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  <w:t>LEUNG KOK KEONG</w:t>
            </w:r>
          </w:p>
          <w:p w14:paraId="07E57E74" w14:textId="77777777" w:rsidR="00B513E3" w:rsidRPr="00B513E3" w:rsidRDefault="00B513E3" w:rsidP="00B513E3">
            <w:pPr>
              <w:autoSpaceDE w:val="0"/>
              <w:autoSpaceDN w:val="0"/>
              <w:adjustRightInd w:val="0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  <w:r w:rsidRPr="00B513E3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Executive Director</w:t>
            </w:r>
          </w:p>
          <w:p w14:paraId="0A30D840" w14:textId="77777777" w:rsidR="00B513E3" w:rsidRPr="00B513E3" w:rsidRDefault="00B513E3" w:rsidP="00B513E3">
            <w:pPr>
              <w:autoSpaceDE w:val="0"/>
              <w:autoSpaceDN w:val="0"/>
              <w:adjustRightInd w:val="0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</w:p>
          <w:p w14:paraId="11427B2A" w14:textId="39F13A91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</w:pPr>
            <w:r w:rsidRPr="00B513E3">
              <w:rPr>
                <w:rFonts w:ascii="HelveticaNeueLTStd-Bd" w:hAnsi="HelveticaNeueLTStd-Bd" w:cs="HelveticaNeueLTStd-Bd"/>
                <w:sz w:val="24"/>
                <w:szCs w:val="24"/>
              </w:rPr>
              <w:t>Mr Leung</w:t>
            </w:r>
            <w:r w:rsidRPr="00B513E3">
              <w:rPr>
                <w:rFonts w:ascii="HelveticaNeueLTStd-Bd" w:hAnsi="HelveticaNeueLTStd-Bd" w:cs="HelveticaNeueLTStd-Bd"/>
                <w:sz w:val="24"/>
                <w:szCs w:val="24"/>
              </w:rPr>
              <w:t xml:space="preserve"> </w:t>
            </w:r>
            <w:proofErr w:type="spellStart"/>
            <w:r w:rsidRPr="00B513E3">
              <w:rPr>
                <w:rFonts w:ascii="HelveticaNeueLTStd-Bd" w:hAnsi="HelveticaNeueLTStd-Bd" w:cs="HelveticaNeueLTStd-Bd"/>
                <w:sz w:val="24"/>
                <w:szCs w:val="24"/>
              </w:rPr>
              <w:t>Kok</w:t>
            </w:r>
            <w:proofErr w:type="spellEnd"/>
            <w:r w:rsidRPr="00B513E3">
              <w:rPr>
                <w:rFonts w:ascii="HelveticaNeueLTStd-Bd" w:hAnsi="HelveticaNeueLTStd-Bd" w:cs="HelveticaNeueLTStd-Bd"/>
                <w:sz w:val="24"/>
                <w:szCs w:val="24"/>
              </w:rPr>
              <w:t xml:space="preserve"> </w:t>
            </w:r>
            <w:proofErr w:type="spellStart"/>
            <w:r w:rsidRPr="00B513E3">
              <w:rPr>
                <w:rFonts w:ascii="HelveticaNeueLTStd-Bd" w:hAnsi="HelveticaNeueLTStd-Bd" w:cs="HelveticaNeueLTStd-Bd"/>
                <w:sz w:val="24"/>
                <w:szCs w:val="24"/>
              </w:rPr>
              <w:t>Keong</w:t>
            </w:r>
            <w:proofErr w:type="spellEnd"/>
            <w:r w:rsidRPr="00B513E3">
              <w:rPr>
                <w:rFonts w:ascii="HelveticaNeueLTStd-Bd" w:hAnsi="HelveticaNeueLTStd-Bd" w:cs="HelveticaNeueLTStd-Bd"/>
                <w:sz w:val="24"/>
                <w:szCs w:val="24"/>
              </w:rPr>
              <w:t xml:space="preserve"> (“Edward”)</w:t>
            </w:r>
            <w:r w:rsidRPr="00B513E3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 obtained his Bachelor’s Degree in Accounting from Curtin University of Technology, Australia in December 1989 and is a Certified Practising Accountant and Chartered Accountant, CPA Australia and also a member of the Malaysian Institute of Accountants.</w:t>
            </w:r>
          </w:p>
          <w:p w14:paraId="7660B054" w14:textId="77777777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sz w:val="24"/>
                <w:szCs w:val="24"/>
              </w:rPr>
            </w:pPr>
          </w:p>
          <w:p w14:paraId="275CBA9B" w14:textId="19984519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He was appointed Executive Director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of the Company on 1 October 2015.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Trained as an investment banker,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he has significant experience in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corporate finance and business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development as well as management.</w:t>
            </w:r>
          </w:p>
          <w:p w14:paraId="7196FBE5" w14:textId="019F7F5E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He was the Independent Non-Executive Director </w:t>
            </w:r>
            <w:proofErr w:type="gram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of:-</w:t>
            </w:r>
            <w:proofErr w:type="gramEnd"/>
          </w:p>
          <w:p w14:paraId="68B467E8" w14:textId="337D4147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a) Kulim (Malaysia)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(2011 to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2016)</w:t>
            </w:r>
          </w:p>
          <w:p w14:paraId="50D15EC3" w14:textId="5165EEFE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b) Damansara Realty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(2011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to Jun 2014)</w:t>
            </w:r>
          </w:p>
          <w:p w14:paraId="61ECB0FC" w14:textId="48A7F795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c) Iskandar Waterfront City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(2010 to September 2013)</w:t>
            </w:r>
          </w:p>
          <w:p w14:paraId="24DD418F" w14:textId="08DFE15E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d)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Ekovest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(May 2013 to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August 2014)</w:t>
            </w:r>
          </w:p>
          <w:p w14:paraId="560C147F" w14:textId="77777777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</w:p>
          <w:p w14:paraId="62E2BA8D" w14:textId="0D4E4718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He was the Group Chief Financial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Officer of Iskandar Waterfront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Holdings Sdn Bhd from September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2013 to February 2015 and he was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the founding member and former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Executive Director of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Newfields</w:t>
            </w:r>
            <w:proofErr w:type="spellEnd"/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Advisors Sdn Bhd, a boutique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financial and corporate advisory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firm from August 2001 until August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2006. He was the Chief Executive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Officer, Platinum Energy Group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from September 2006 until February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2008. His vast experiences also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included stints as an Investment &amp;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Corporate Planning Manager, Hong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Leong Credit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from 1994 to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2001 and Audit Senior, Coopers &amp;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Lybrand Kuala Lumpur from 1990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until 1994.</w:t>
            </w:r>
          </w:p>
          <w:p w14:paraId="5435347A" w14:textId="77777777" w:rsidR="00B513E3" w:rsidRP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b/>
                <w:bCs/>
                <w:color w:val="0073FF"/>
                <w:sz w:val="24"/>
                <w:szCs w:val="24"/>
              </w:rPr>
            </w:pPr>
          </w:p>
          <w:p w14:paraId="5B799F3E" w14:textId="77777777" w:rsidR="00B513E3" w:rsidRDefault="00B513E3" w:rsidP="00B513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</w:pP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He is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also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an Executive Director of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Fintec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Global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and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Vsolar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Group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proofErr w:type="spellStart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>.</w:t>
            </w:r>
            <w:r w:rsidRPr="00B513E3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513E3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He does not have any family relationship with any Directors and/ or major shareholders of </w:t>
            </w:r>
            <w:r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Focus Dynamics Group </w:t>
            </w:r>
            <w:proofErr w:type="spellStart"/>
            <w:r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Berhad</w:t>
            </w:r>
            <w:proofErr w:type="spellEnd"/>
            <w:r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 (“FDGB”)</w:t>
            </w:r>
            <w:r w:rsidRPr="00B513E3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, or any conflict of interest with </w:t>
            </w:r>
            <w:r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FDGB</w:t>
            </w:r>
            <w:r w:rsidRPr="00B513E3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.</w:t>
            </w:r>
          </w:p>
          <w:p w14:paraId="205E737D" w14:textId="213A7A7C" w:rsidR="00BB49A9" w:rsidRPr="00B513E3" w:rsidRDefault="00BB49A9" w:rsidP="00B513E3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</w:p>
        </w:tc>
      </w:tr>
      <w:tr w:rsidR="00B513E3" w14:paraId="1589D4CD" w14:textId="77777777" w:rsidTr="00B513E3">
        <w:tc>
          <w:tcPr>
            <w:tcW w:w="9016" w:type="dxa"/>
          </w:tcPr>
          <w:p w14:paraId="1559F81E" w14:textId="3B1027CF" w:rsidR="00B513E3" w:rsidRPr="00BB49A9" w:rsidRDefault="00BB49A9" w:rsidP="00B513E3">
            <w:pPr>
              <w:autoSpaceDE w:val="0"/>
              <w:autoSpaceDN w:val="0"/>
              <w:adjustRightInd w:val="0"/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</w:pPr>
            <w:r w:rsidRPr="00BB49A9"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  <w:t>TAY BEN SENG, BENSON</w:t>
            </w:r>
          </w:p>
          <w:p w14:paraId="3790613A" w14:textId="77777777" w:rsidR="00B513E3" w:rsidRPr="00BB49A9" w:rsidRDefault="00B513E3" w:rsidP="00B513E3">
            <w:pPr>
              <w:autoSpaceDE w:val="0"/>
              <w:autoSpaceDN w:val="0"/>
              <w:adjustRightInd w:val="0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Executive Director</w:t>
            </w:r>
          </w:p>
          <w:p w14:paraId="3C8BFAE7" w14:textId="77777777" w:rsidR="00B513E3" w:rsidRPr="00BB49A9" w:rsidRDefault="00B513E3" w:rsidP="00B513E3">
            <w:pPr>
              <w:autoSpaceDE w:val="0"/>
              <w:autoSpaceDN w:val="0"/>
              <w:adjustRightInd w:val="0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</w:p>
          <w:p w14:paraId="71ECE3B1" w14:textId="033886C6" w:rsidR="00B513E3" w:rsidRPr="00BB49A9" w:rsidRDefault="00B513E3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Mr Tay holds a bachelor of Commerce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Degree with a double major in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Marketing and Management.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was appointed Executive Director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of the Company on 8 February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2017. He is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fueled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with passionate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inclination towards conceiving and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innovating lifestyle concepts in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the Food and Beverage (“F&amp;B”)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arena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He has extensive experiences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of more than a decade ranging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from events management to F&amp;B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operations and conceptualizing new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start-ups.</w:t>
            </w:r>
          </w:p>
          <w:p w14:paraId="06999635" w14:textId="77777777" w:rsidR="00B513E3" w:rsidRPr="00BB49A9" w:rsidRDefault="00B513E3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b/>
                <w:bCs/>
                <w:sz w:val="24"/>
                <w:szCs w:val="24"/>
              </w:rPr>
            </w:pPr>
          </w:p>
          <w:p w14:paraId="011C606C" w14:textId="6570856C" w:rsidR="00B513E3" w:rsidRPr="00BB49A9" w:rsidRDefault="00B513E3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currently sits as the Director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of Marquee International Sdn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Bhd (“MISB”) which is the F&amp;B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division of the group and also holds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directorship positions in several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other private companies. Prior to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j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oining MISB, he was involved mainly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with various F&amp;B start-ups as well as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the automotive industry and events</w:t>
            </w:r>
            <w:r w:rsidR="00BB49A9"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management.</w:t>
            </w:r>
          </w:p>
          <w:p w14:paraId="303FB2F5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</w:p>
          <w:p w14:paraId="14477CC2" w14:textId="16C11E39" w:rsid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He does not have any family relationship with any Directors and/ or major shareholders of Focus Dynamics Group </w:t>
            </w:r>
            <w:proofErr w:type="spellStart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Berhad</w:t>
            </w:r>
            <w:proofErr w:type="spellEnd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 (“FDGB”), or any conflict of interest with FDGB.</w:t>
            </w:r>
          </w:p>
        </w:tc>
      </w:tr>
      <w:tr w:rsidR="00B513E3" w14:paraId="468B414C" w14:textId="77777777" w:rsidTr="00B513E3">
        <w:tc>
          <w:tcPr>
            <w:tcW w:w="9016" w:type="dxa"/>
          </w:tcPr>
          <w:p w14:paraId="1D7379EC" w14:textId="628287B8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</w:pPr>
            <w:r w:rsidRPr="00BB49A9"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  <w:lastRenderedPageBreak/>
              <w:t>TAN AIK HEANG</w:t>
            </w:r>
          </w:p>
          <w:p w14:paraId="72192022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Independent Non-Executive Director</w:t>
            </w:r>
          </w:p>
          <w:p w14:paraId="20856972" w14:textId="77777777" w:rsidR="00B513E3" w:rsidRPr="00BB49A9" w:rsidRDefault="00B513E3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</w:p>
          <w:p w14:paraId="4F9AA8CC" w14:textId="3E016490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Mr Tan is an Associate Member of the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Chartered Institute of Management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Accountant, United Kingdom.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was appointed an Independent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Non-Executive Director of the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Company on 29 September 2010.</w:t>
            </w:r>
          </w:p>
          <w:p w14:paraId="567BBC4E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</w:p>
          <w:p w14:paraId="432CDA16" w14:textId="20E9E9A4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started his career as an auditor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with Hun &amp; Co. in 1991. In May 1993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,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joined Trans-Global Agencies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Sdn. Bhd., a trading company,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as an Account Executive. He left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in May 1995 and joined SJ Asset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Management Sdn. Bhd., a fund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management company as an Account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Executive. On June 1997, he was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promoted to Assistant Finance and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Administration Manager and in June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1999 as Finance and Administration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Manager. Subsequently in June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2006, he was promoted as Senior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Finance and Administration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Manager. After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15 years with the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fund management industry, he left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SJ Asset Management Sdn. Bhd. in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June 2010. He is currently involved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in the business of manpower supply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and management.</w:t>
            </w:r>
          </w:p>
          <w:p w14:paraId="57BCAC06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</w:p>
          <w:p w14:paraId="7619097F" w14:textId="77777777" w:rsid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</w:pPr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He does not have any family relationship with any Directors and/ or major shareholders of Focus Dynamics Group </w:t>
            </w:r>
            <w:proofErr w:type="spellStart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Berhad</w:t>
            </w:r>
            <w:proofErr w:type="spellEnd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 (“FDGB”), or any conflict of interest with FDGB.</w:t>
            </w:r>
          </w:p>
          <w:p w14:paraId="63B58A65" w14:textId="45B61A3A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18"/>
                <w:szCs w:val="18"/>
              </w:rPr>
            </w:pPr>
          </w:p>
        </w:tc>
      </w:tr>
      <w:tr w:rsidR="00B513E3" w14:paraId="3DB1DAEC" w14:textId="77777777" w:rsidTr="00B513E3">
        <w:tc>
          <w:tcPr>
            <w:tcW w:w="9016" w:type="dxa"/>
          </w:tcPr>
          <w:p w14:paraId="69977F82" w14:textId="2CF4C854" w:rsidR="00BB49A9" w:rsidRPr="00BB49A9" w:rsidRDefault="00BB49A9" w:rsidP="00BB49A9">
            <w:pPr>
              <w:autoSpaceDE w:val="0"/>
              <w:autoSpaceDN w:val="0"/>
              <w:adjustRightInd w:val="0"/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</w:pPr>
            <w:r w:rsidRPr="00BB49A9"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  <w:t>ABDUL MENON BIN ARSAD @ ABDUL MANAN BIN ARSHAD</w:t>
            </w:r>
          </w:p>
          <w:p w14:paraId="74039AAE" w14:textId="65D95784" w:rsidR="00BB49A9" w:rsidRPr="00BB49A9" w:rsidRDefault="00BB49A9" w:rsidP="00BB49A9">
            <w:pPr>
              <w:autoSpaceDE w:val="0"/>
              <w:autoSpaceDN w:val="0"/>
              <w:adjustRightInd w:val="0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Independent Non-Executive Director</w:t>
            </w:r>
          </w:p>
          <w:p w14:paraId="5DFF5943" w14:textId="28105847" w:rsidR="00BB49A9" w:rsidRPr="00BB49A9" w:rsidRDefault="00BB49A9" w:rsidP="00BB49A9">
            <w:pPr>
              <w:autoSpaceDE w:val="0"/>
              <w:autoSpaceDN w:val="0"/>
              <w:adjustRightInd w:val="0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</w:p>
          <w:p w14:paraId="161755B7" w14:textId="5BB8FA99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Encik Abdul Menon holds 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a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Bachelor Degree in Social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Science (Hon.) from </w:t>
            </w:r>
            <w:proofErr w:type="spellStart"/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Universiti</w:t>
            </w:r>
            <w:proofErr w:type="spellEnd"/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Sains</w:t>
            </w:r>
            <w:proofErr w:type="spellEnd"/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Malaysi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a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and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Diploma in Management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from Malaysian Institute of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Management.</w:t>
            </w:r>
          </w:p>
          <w:p w14:paraId="2BA94DA2" w14:textId="1914198B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</w:p>
          <w:p w14:paraId="3324AD3B" w14:textId="6D400B78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was appointed an Independent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Non-Executive Director of the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Company on 27 December 2011. He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has twenty (20) years of experience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serving in the Malaysian Armed Forces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and more than nine (9) years working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experience in numerous fields,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including facility administration and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ancillaries, operation management,</w:t>
            </w:r>
            <w:r w:rsidR="009A75B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property and facility management.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retired in 2009 and ventured into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his own business.</w:t>
            </w:r>
          </w:p>
          <w:p w14:paraId="4D167233" w14:textId="7127E405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</w:p>
          <w:p w14:paraId="1C98DEB6" w14:textId="63829CA0" w:rsidR="00B513E3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is also a Senior Independent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Non-Executive Director of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Vsolar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Group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He does not have any family relationship with any Directors and/ or major shareholders of Focus Dynamics Group </w:t>
            </w:r>
            <w:proofErr w:type="spellStart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Berhad</w:t>
            </w:r>
            <w:proofErr w:type="spellEnd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 (“FDGB”), or any conflict of interest with FDGB.</w:t>
            </w:r>
          </w:p>
          <w:p w14:paraId="6754DD12" w14:textId="4D219689" w:rsidR="00BB49A9" w:rsidRDefault="00BB49A9" w:rsidP="00B513E3">
            <w:pPr>
              <w:autoSpaceDE w:val="0"/>
              <w:autoSpaceDN w:val="0"/>
              <w:adjustRightInd w:val="0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</w:p>
        </w:tc>
      </w:tr>
      <w:tr w:rsidR="00B513E3" w:rsidRPr="00BB49A9" w14:paraId="09B74EF2" w14:textId="77777777" w:rsidTr="00B513E3">
        <w:tc>
          <w:tcPr>
            <w:tcW w:w="9016" w:type="dxa"/>
          </w:tcPr>
          <w:p w14:paraId="05C7999D" w14:textId="7B2084E5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</w:pPr>
            <w:r w:rsidRPr="00BB49A9">
              <w:rPr>
                <w:rFonts w:ascii="HelveticaNeueLTStd-Bd" w:hAnsi="HelveticaNeueLTStd-Bd" w:cs="HelveticaNeueLTStd-Bd"/>
                <w:b/>
                <w:bCs/>
                <w:color w:val="000000"/>
                <w:sz w:val="24"/>
                <w:szCs w:val="24"/>
              </w:rPr>
              <w:t>CHANG VUN LUNG</w:t>
            </w:r>
          </w:p>
          <w:p w14:paraId="555CD80D" w14:textId="6C2F8439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  <w:r w:rsidRPr="00BB49A9"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  <w:t>Independent Non-Executive Director</w:t>
            </w:r>
          </w:p>
          <w:p w14:paraId="75F07A30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Lt" w:hAnsi="HelveticaNeueLTStd-Lt" w:cs="HelveticaNeueLTStd-Lt"/>
                <w:color w:val="000000"/>
                <w:sz w:val="24"/>
                <w:szCs w:val="24"/>
              </w:rPr>
            </w:pPr>
          </w:p>
          <w:p w14:paraId="6B3C42EA" w14:textId="23CE706A" w:rsidR="00B513E3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Mr Chang received his early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education at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Tunku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Abdul Rahman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College. He has been a member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of the Association of Chartered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Certified Accountants (ACCA, UK)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since 2004 and is also a member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of the Malaysian Institute of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Accountants (MIA) since 2005.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was admitted as a fellowship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member of ACCA in year 2009.</w:t>
            </w:r>
          </w:p>
          <w:p w14:paraId="0A4BF1AE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</w:p>
          <w:p w14:paraId="79C583ED" w14:textId="646A417E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was appointed an Independent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Non-Executive Director on 8 January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2013. He started his career as a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chartered accountant with BDO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Binder for approximately 4 years.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then spent another 4 years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with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Isyoda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Corporation Bhd.,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a construction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lastRenderedPageBreak/>
              <w:t>company listed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on the Main Market of Bursa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Securities. During his tenure with the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company, he was appointed Group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Accountant where he took charge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of the accounting and finance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functions. Presently, he runs his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own professional firm specialising in</w:t>
            </w:r>
            <w:r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consultancy and corporate services.</w:t>
            </w:r>
          </w:p>
          <w:p w14:paraId="59719246" w14:textId="77777777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Bd" w:hAnsi="HelveticaNeueLTStd-Bd" w:cs="HelveticaNeueLTStd-Bd"/>
                <w:b/>
                <w:bCs/>
                <w:color w:val="0073FF"/>
                <w:sz w:val="24"/>
                <w:szCs w:val="24"/>
              </w:rPr>
            </w:pPr>
          </w:p>
          <w:p w14:paraId="6B287256" w14:textId="3ED0D2B0" w:rsidR="00BB49A9" w:rsidRPr="00BB49A9" w:rsidRDefault="00BB49A9" w:rsidP="00BB49A9">
            <w:pPr>
              <w:autoSpaceDE w:val="0"/>
              <w:autoSpaceDN w:val="0"/>
              <w:adjustRightInd w:val="0"/>
              <w:jc w:val="both"/>
              <w:rPr>
                <w:rFonts w:ascii="HelveticaNeueLTStd-Roman" w:hAnsi="HelveticaNeueLTStd-Roman" w:cs="HelveticaNeueLTStd-Roman"/>
                <w:sz w:val="24"/>
                <w:szCs w:val="24"/>
              </w:rPr>
            </w:pP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He is an Independent Non-Executive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Director of AT Systematization</w:t>
            </w:r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and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Vsolar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 Group </w:t>
            </w:r>
            <w:proofErr w:type="spellStart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>Berhad</w:t>
            </w:r>
            <w:proofErr w:type="spellEnd"/>
            <w:r w:rsidRPr="00BB49A9">
              <w:rPr>
                <w:rFonts w:ascii="HelveticaNeueLTStd-Roman" w:hAnsi="HelveticaNeueLTStd-Roman" w:cs="HelveticaNeueLTStd-Roman"/>
                <w:sz w:val="24"/>
                <w:szCs w:val="24"/>
              </w:rPr>
              <w:t xml:space="preserve">. </w:t>
            </w:r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He does not have any family relationship with any Directors and/ or major shareholders of Focus Dynamics Group </w:t>
            </w:r>
            <w:proofErr w:type="spellStart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>Berhad</w:t>
            </w:r>
            <w:proofErr w:type="spellEnd"/>
            <w:r w:rsidRPr="00BB49A9">
              <w:rPr>
                <w:rFonts w:ascii="Arial" w:hAnsi="Arial" w:cs="Arial"/>
                <w:color w:val="333333"/>
                <w:spacing w:val="8"/>
                <w:sz w:val="24"/>
                <w:szCs w:val="24"/>
                <w:shd w:val="clear" w:color="auto" w:fill="FFFFFF"/>
              </w:rPr>
              <w:t xml:space="preserve"> (“FDGB”), or any conflict of interest with FDGB.</w:t>
            </w:r>
          </w:p>
        </w:tc>
      </w:tr>
    </w:tbl>
    <w:p w14:paraId="11EB6BBF" w14:textId="77777777" w:rsidR="00B513E3" w:rsidRPr="00B513E3" w:rsidRDefault="00B513E3" w:rsidP="00BB49A9">
      <w:pPr>
        <w:autoSpaceDE w:val="0"/>
        <w:autoSpaceDN w:val="0"/>
        <w:adjustRightInd w:val="0"/>
        <w:spacing w:after="0" w:line="240" w:lineRule="auto"/>
        <w:jc w:val="both"/>
        <w:rPr>
          <w:rFonts w:ascii="HelveticaNeueLTStd-Bd" w:hAnsi="HelveticaNeueLTStd-Bd" w:cs="HelveticaNeueLTStd-Bd"/>
          <w:b/>
          <w:bCs/>
          <w:color w:val="0073FF"/>
          <w:sz w:val="24"/>
          <w:szCs w:val="24"/>
        </w:rPr>
      </w:pPr>
    </w:p>
    <w:p w14:paraId="261853D1" w14:textId="77777777" w:rsidR="00B513E3" w:rsidRDefault="00B513E3" w:rsidP="00BB49A9">
      <w:pPr>
        <w:autoSpaceDE w:val="0"/>
        <w:autoSpaceDN w:val="0"/>
        <w:adjustRightInd w:val="0"/>
        <w:spacing w:after="0" w:line="240" w:lineRule="auto"/>
        <w:jc w:val="both"/>
        <w:rPr>
          <w:rFonts w:ascii="HelveticaNeueLTStd-Lt" w:hAnsi="HelveticaNeueLTStd-Lt" w:cs="HelveticaNeueLTStd-Lt"/>
          <w:color w:val="000000"/>
          <w:sz w:val="18"/>
          <w:szCs w:val="18"/>
        </w:rPr>
      </w:pPr>
    </w:p>
    <w:p w14:paraId="7B3D831F" w14:textId="77777777" w:rsidR="00B513E3" w:rsidRDefault="00B513E3" w:rsidP="00B513E3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8"/>
          <w:szCs w:val="18"/>
        </w:rPr>
      </w:pPr>
    </w:p>
    <w:p w14:paraId="4EC17FED" w14:textId="77777777" w:rsidR="00B513E3" w:rsidRDefault="00B513E3" w:rsidP="00B513E3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8"/>
          <w:szCs w:val="18"/>
        </w:rPr>
      </w:pPr>
    </w:p>
    <w:sectPr w:rsidR="00B5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Std-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E3"/>
    <w:rsid w:val="00427504"/>
    <w:rsid w:val="009A75B9"/>
    <w:rsid w:val="00B513E3"/>
    <w:rsid w:val="00BB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7E9"/>
  <w15:chartTrackingRefBased/>
  <w15:docId w15:val="{7ECE5B4D-15CB-4CA7-B5D9-40B71217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Syn Yap</dc:creator>
  <cp:keywords/>
  <dc:description/>
  <cp:lastModifiedBy>Chia Syn Yap</cp:lastModifiedBy>
  <cp:revision>1</cp:revision>
  <dcterms:created xsi:type="dcterms:W3CDTF">2020-02-12T10:32:00Z</dcterms:created>
  <dcterms:modified xsi:type="dcterms:W3CDTF">2020-02-12T10:53:00Z</dcterms:modified>
</cp:coreProperties>
</file>