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31D8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AnthurineXiang分享了上周区块链快讯：以太坊Fusca升级完成，区块容量上限提升至21个，这对扩展性有重要影响；同时OPBNB也完成了主网硬分叉，减少了区块时间。</w:t>
      </w:r>
    </w:p>
    <w:p w14:paraId="3658B1FE">
      <w:pPr>
        <w:pStyle w:val="2"/>
        <w:keepNext w:val="0"/>
        <w:keepLines w:val="0"/>
        <w:widowControl/>
        <w:suppressLineNumbers w:val="0"/>
      </w:pPr>
      <w:r>
        <w:t>AnthurineXiang指出Polymarket平台在委内瑞拉事件判定上存在争议，平台方将军事行动定性为"突袭"而非入侵引发投资者不满，涉及200多万美元的真金白银投票。这种主观判定标准暴露了预测市场机制的脆弱性。</w:t>
      </w:r>
    </w:p>
    <w:p w14:paraId="65D4FE52">
      <w:pPr>
        <w:pStyle w:val="2"/>
        <w:keepNext w:val="0"/>
        <w:keepLines w:val="0"/>
        <w:widowControl/>
        <w:suppressLineNumbers w:val="0"/>
      </w:pPr>
      <w:r>
        <w:t>他提到以太坊Layer2解决方案表现低迷，特别是OP代币价格暴跌，项目方拟用Superchat收入50%（约2934个ETH）进行为期12个月的回购计划。这反映出Layer2项目正在面临严峻的市场信任危机。</w:t>
      </w:r>
    </w:p>
    <w:p w14:paraId="0411EC4D">
      <w:pPr>
        <w:pStyle w:val="2"/>
        <w:keepNext w:val="0"/>
        <w:keepLines w:val="0"/>
        <w:widowControl/>
        <w:suppressLineNumbers w:val="0"/>
      </w:pPr>
      <w:r>
        <w:t>AnthurineXiang提到近期两起黑客攻击事件：11月阿贝项目遭攻击后资金通过龙卷风洗钱，1月9日twobits损失8000以太坊（约2600万美元）导致币价暴跌99%。项目方已警告用户暂停交互并配合执法，但资金已转入tonicash，显示安全漏洞依然严峻。</w:t>
      </w:r>
    </w:p>
    <w:p w14:paraId="77DF0876">
      <w:pPr>
        <w:pStyle w:val="2"/>
        <w:keepNext w:val="0"/>
        <w:keepLines w:val="0"/>
        <w:widowControl/>
        <w:suppressLineNumbers w:val="0"/>
      </w:pPr>
      <w:r>
        <w:t>他随后讨论了Vitalic关于去中心化稳定币的提案，强调需解决三大痛点：构建优于美元的指数、抗大资金操控的预言机设计、平衡质押收益与稳定币竞争。Vitalic主张长期需摆脱单一货币依赖，提升系统韧性——这显然针对当前USDT/USDC的垄断局面。</w:t>
      </w:r>
    </w:p>
    <w:p w14:paraId="6D61C4D0">
      <w:pPr>
        <w:pStyle w:val="2"/>
        <w:keepNext w:val="0"/>
        <w:keepLines w:val="0"/>
        <w:widowControl/>
        <w:suppressLineNumbers w:val="0"/>
      </w:pPr>
      <w:r>
        <w:t>AnthurineXiang提到，核心开发团队ECC与基金会在治理机制上产生严重分歧后集体离职，并成立了盈利公司CashZ，专注于Zcash钱包的商业化开发，导致ZCC短期内下跌20%。基金会强调Zcash作为去中心化协议不受单一团队影响，网络仍由全球节点维护。</w:t>
      </w:r>
    </w:p>
    <w:p w14:paraId="22CBFAE7">
      <w:pPr>
        <w:pStyle w:val="2"/>
        <w:keepNext w:val="0"/>
        <w:keepLines w:val="0"/>
        <w:widowControl/>
        <w:suppressLineNumbers w:val="0"/>
      </w:pPr>
      <w:r>
        <w:t>他接着指出，RB厂是L2中最活跃的，得益于Robinhood等大项目的支持，近期升级后引入了更平滑的定价模型，基础费从0.01GV提高到0.02GV，以减少市场波动的影响。</w:t>
      </w:r>
    </w:p>
    <w:p w14:paraId="485920B2">
      <w:pPr>
        <w:pStyle w:val="2"/>
        <w:keepNext w:val="0"/>
        <w:keepLines w:val="0"/>
        <w:widowControl/>
        <w:suppressLineNumbers w:val="0"/>
      </w:pPr>
      <w:r>
        <w:t>AnthurineXiang讨论了Robinhood选择基于R币创构建L2而非独立链的原因，强调以太坊的安全性、去中心化和EVM生态流动性是关键考量。他提到Robinhood即将上线私有测试网，计划将200多只代币化股票从Arbitrum迁移至自有L2，未来扩展到2000只。</w:t>
      </w:r>
    </w:p>
    <w:p w14:paraId="366E7424">
      <w:pPr>
        <w:pStyle w:val="2"/>
        <w:keepNext w:val="0"/>
        <w:keepLines w:val="0"/>
        <w:widowControl/>
        <w:suppressLineNumbers w:val="0"/>
      </w:pPr>
      <w:r>
        <w:t>对比之下，他举例Stripe旗下Temple链因选择独立链L1而受质疑，突显行业对L2方案的偏好。此外，Starknet近期18分钟宕机事件暴露了执行层与证明层状态同步问题，反映L2技术仍需完善。</w:t>
      </w:r>
    </w:p>
    <w:p w14:paraId="40814D5E">
      <w:pPr>
        <w:pStyle w:val="2"/>
        <w:keepNext w:val="0"/>
        <w:keepLines w:val="0"/>
        <w:widowControl/>
        <w:suppressLineNumbers w:val="0"/>
      </w:pPr>
      <w:r>
        <w:t>整体来看，他的分析揭示了L2与独立链的权衡逻辑，以及主流项目对以太坊生态的依赖。</w:t>
      </w:r>
    </w:p>
    <w:p w14:paraId="277C2C05">
      <w:pPr>
        <w:pStyle w:val="2"/>
        <w:keepNext w:val="0"/>
        <w:keepLines w:val="0"/>
        <w:widowControl/>
        <w:suppressLineNumbers w:val="0"/>
      </w:pPr>
      <w:r>
        <w:t>AnthurineXiang提到L2链宕机问题，指出Starknet近期18分钟宕机与去年9月那次5小时宕机相比影响较小，但暴露出用户基数不足的尴尬。</w:t>
      </w:r>
    </w:p>
    <w:p w14:paraId="205A1534">
      <w:pPr>
        <w:pStyle w:val="2"/>
        <w:keepNext w:val="0"/>
        <w:keepLines w:val="0"/>
        <w:widowControl/>
        <w:suppressLineNumbers w:val="0"/>
      </w:pPr>
      <w:r>
        <w:t>他转述Twitter将推出SmartCash Tag功能，Solana迅速跟进整合该实时资产标记功能，显示社交平台正成为加密生态新入口。</w:t>
      </w:r>
    </w:p>
    <w:p w14:paraId="780A3465">
      <w:pPr>
        <w:pStyle w:val="2"/>
        <w:keepNext w:val="0"/>
        <w:keepLines w:val="0"/>
        <w:widowControl/>
        <w:suppressLineNumbers w:val="0"/>
      </w:pPr>
      <w:r>
        <w:t>最后提到上市矿企RIO抛售2亿美元比特币，在政策面释放出机构投资者调整持仓的信号。</w:t>
      </w:r>
    </w:p>
    <w:p w14:paraId="498F2E79">
      <w:pPr>
        <w:pStyle w:val="2"/>
        <w:keepNext w:val="0"/>
        <w:keepLines w:val="0"/>
        <w:widowControl/>
        <w:suppressLineNumbers w:val="0"/>
      </w:pPr>
      <w:r>
        <w:t>AnthurineXiang指出矿企正抛售比特币以融资扩建AI数据中心和电力设施，反映出市场对AI和电力需求的预期增长。他认为共和党执政下的SEC可能对加密行业更友好，但提到特朗普不太可能特赦被判25年的SBF。</w:t>
      </w:r>
    </w:p>
    <w:p w14:paraId="7243E95B">
      <w:pPr>
        <w:pStyle w:val="2"/>
        <w:keepNext w:val="0"/>
        <w:keepLines w:val="0"/>
        <w:widowControl/>
        <w:suppressLineNumbers w:val="0"/>
      </w:pPr>
      <w:r>
        <w:t>a16z投资1500万美元购买Barbie代币，旨在构建无需托管的BTC抵押借贷方案，显示资本正探索原生BTC在DeFi中的新应用场景。而此前讨论中提到的Solana将内置资产标记功能，暗示社交平台与加密生态的融合趋势在加速。</w:t>
      </w:r>
    </w:p>
    <w:p w14:paraId="01A13851">
      <w:pPr>
        <w:pStyle w:val="2"/>
        <w:keepNext w:val="0"/>
        <w:keepLines w:val="0"/>
        <w:widowControl/>
        <w:suppressLineNumbers w:val="0"/>
      </w:pPr>
      <w:r>
        <w:t>AnthurineXiang提到Fireblocks以1.3亿美金收购加密会计平台，延续其并购节奏，此前收购Dynamic以完善机构托管和合规能力。这显示Fireblocks正通过收购快速构建完整的机构服务生态。</w:t>
      </w:r>
    </w:p>
    <w:p w14:paraId="445D55F9">
      <w:pPr>
        <w:pStyle w:val="2"/>
        <w:keepNext w:val="0"/>
        <w:keepLines w:val="0"/>
        <w:widowControl/>
        <w:suppressLineNumbers w:val="0"/>
      </w:pPr>
      <w:r>
        <w:t>他透露另一笔比特币ATM公司收购接近完成，金额约1-1.25亿美金，旨在拓展Polygon的线下支付入口。该ATM公司覆盖美国49个州。</w:t>
      </w:r>
    </w:p>
    <w:p w14:paraId="4CBF92C5">
      <w:pPr>
        <w:pStyle w:val="2"/>
        <w:keepNext w:val="0"/>
        <w:keepLines w:val="0"/>
        <w:widowControl/>
        <w:suppressLineNumbers w:val="0"/>
      </w:pPr>
      <w:r>
        <w:t>最后他提到HZ完成150亿美元募资，强调加密货币对美国未来至关重要。虽然资金不全部用于加密领域，但表态显示出战略重视。</w:t>
      </w:r>
    </w:p>
    <w:p w14:paraId="27766C86">
      <w:pPr>
        <w:pStyle w:val="2"/>
        <w:keepNext w:val="0"/>
        <w:keepLines w:val="0"/>
        <w:widowControl/>
        <w:suppressLineNumbers w:val="0"/>
      </w:pPr>
      <w:r>
        <w:t>整体来看，发言传递出加密行业加速整合和资本密集布局的信号，随后会议转向Qiang的分享环节。</w:t>
      </w:r>
    </w:p>
    <w:p w14:paraId="18320914">
      <w:pPr>
        <w:pStyle w:val="2"/>
        <w:keepNext w:val="0"/>
        <w:keepLines w:val="0"/>
        <w:widowControl/>
        <w:suppressLineNumbers w:val="0"/>
      </w:pPr>
      <w:r>
        <w:t>Qiang分享了Blockworks联创对2025年加密货币市场的观察：尽管以太坊、比特币等主流币种一度创历史新高，但市场并未出现真正的牛市氛围，价格普遍回落30%-40%。关键洞察在于行业缺乏新用户流入，现有投资者平均已在市场停留3-5年，反映出市场预期与现实的显著落差。他提到Mike用互联网发展作类比，暗示行业可能处于阶段性调整期而非爆发期。</w:t>
      </w:r>
    </w:p>
    <w:p w14:paraId="52357920">
      <w:pPr>
        <w:pStyle w:val="2"/>
        <w:keepNext w:val="0"/>
        <w:keepLines w:val="0"/>
        <w:widowControl/>
        <w:suppressLineNumbers w:val="0"/>
      </w:pPr>
      <w:r>
        <w:t>Qiang指出行业曾因过度建设导致熊市，暗示当前市场可能面临类似泡沫风险。他认为2026年将进入整合期，胜者为王的行业格局可能形成。</w:t>
      </w:r>
    </w:p>
    <w:p w14:paraId="0409CB10">
      <w:pPr>
        <w:pStyle w:val="2"/>
        <w:keepNext w:val="0"/>
        <w:keepLines w:val="0"/>
        <w:widowControl/>
        <w:suppressLineNumbers w:val="0"/>
      </w:pPr>
      <w:r>
        <w:t>他特别提到以太坊协议表现优异，尤其是azk100m进展超预期，并强调2025-2026年是关键布局期。华尔街资产上链趋势和clarity法案通过被视为行业重要节点，显示监管与技术发展正在同步推进。</w:t>
      </w:r>
    </w:p>
    <w:p w14:paraId="17A1F4B0">
      <w:pPr>
        <w:pStyle w:val="2"/>
        <w:keepNext w:val="0"/>
        <w:keepLines w:val="0"/>
        <w:widowControl/>
        <w:suppressLineNumbers w:val="0"/>
      </w:pPr>
      <w:r>
        <w:t>Qiang对2026年市场持谨慎态度，指出以太坊L1基建虽好但缺乏新应用。他提到预测市场是当前热门赛道，预计Cal和Polymarket仍将主导，但中心化交易所正虎视眈眈试图分羹，如Rabbit Hood通过L2切入股票上链领域。尽管行业普遍看好预测市场十倍增长，他的表态却相对保守。</w:t>
      </w:r>
    </w:p>
    <w:p w14:paraId="135740F6">
      <w:pPr>
        <w:pStyle w:val="2"/>
        <w:keepNext w:val="0"/>
        <w:keepLines w:val="0"/>
        <w:widowControl/>
        <w:suppressLineNumbers w:val="0"/>
      </w:pPr>
      <w:r>
        <w:t>Qiang指出预测市场和永续合约是当前热门赛道，Coinbase、Robinhood等大交易所纷纷入局，显示行业竞争加剧但机会巨大。他认为中心化交易所表现将优于去中心化交易所，但市场高度分散且缺乏护城河。</w:t>
      </w:r>
    </w:p>
    <w:p w14:paraId="1DA1004C">
      <w:pPr>
        <w:pStyle w:val="2"/>
        <w:keepNext w:val="0"/>
        <w:keepLines w:val="0"/>
        <w:widowControl/>
        <w:suppressLineNumbers w:val="0"/>
      </w:pPr>
      <w:r>
        <w:t>他对以太坊持乐观态度，预计26年表现优于比特币，暗示对以太坊生态的长期看好。</w:t>
      </w:r>
    </w:p>
    <w:p w14:paraId="44CC8B65">
      <w:pPr>
        <w:pStyle w:val="2"/>
        <w:keepNext w:val="0"/>
        <w:keepLines w:val="0"/>
        <w:widowControl/>
        <w:suppressLineNumbers w:val="0"/>
      </w:pPr>
      <w:r>
        <w:t>Qiang认为比特币当前表现平平，市场情绪低迷且面临量子计算等挑战，甚至可能在滞胀年份表现不如黄金。他将比特币定位为专注于货币应用的链，而以太坊则更偏向资产发行。尽管以太坊过去在L2路线上有失误，但当前在RWA（现实世界资产上链）领域有较好市场契合度。</w:t>
      </w:r>
    </w:p>
    <w:p w14:paraId="33CA28A9">
      <w:pPr>
        <w:pStyle w:val="2"/>
        <w:keepNext w:val="0"/>
        <w:keepLines w:val="0"/>
        <w:widowControl/>
        <w:suppressLineNumbers w:val="0"/>
      </w:pPr>
      <w:r>
        <w:t>对于Solana，他指出去年炒作过度，风口过后表现回落，同时面临Hyperliquid的激烈竞争。整体来看，他更看好以太坊在26年的表现，而比特币和Solana各有明显短板。</w:t>
      </w:r>
    </w:p>
    <w:p w14:paraId="5804C105">
      <w:pPr>
        <w:pStyle w:val="2"/>
        <w:keepNext w:val="0"/>
        <w:keepLines w:val="0"/>
        <w:widowControl/>
        <w:suppressLineNumbers w:val="0"/>
      </w:pPr>
      <w:r>
        <w:t>Qiang认为Solana需要从Hyperliquid等交易所争夺市场份额，但面对Robinhood这类强劲对手压力很大。他提到新L1很难有机会，因为以太坊和Solana的网络效应正持续增强。</w:t>
      </w:r>
    </w:p>
    <w:p w14:paraId="47E00C31">
      <w:pPr>
        <w:pStyle w:val="2"/>
        <w:keepNext w:val="0"/>
        <w:keepLines w:val="0"/>
        <w:widowControl/>
        <w:suppressLineNumbers w:val="0"/>
      </w:pPr>
      <w:r>
        <w:t>他指出当前熊市导致区块空间需求下降，行业存在过度建设现象。随着进入壁垒提高，现有头部玩家将受益，尤其是以太坊的L2生态框架会成为自然赢家。但Base链可能面临监管风险，且定位模糊。</w:t>
      </w:r>
    </w:p>
    <w:p w14:paraId="2946AB51">
      <w:pPr>
        <w:pStyle w:val="2"/>
        <w:keepNext w:val="0"/>
        <w:keepLines w:val="0"/>
        <w:widowControl/>
        <w:suppressLineNumbers w:val="0"/>
      </w:pPr>
      <w:r>
        <w:t>Qiang认为2026年是区块链领域的低派年份，但市场资金流入会增加，尤其稳定币需求会上升。他提到企业链成为热点，特别聚焦于Temple链，尽管预测其会高开低走，却缺乏具体依据。他看衰Circle的Ark链，认为无人问津，同时对Robinhood链持保留态度，认为与Base类似。</w:t>
      </w:r>
    </w:p>
    <w:p w14:paraId="24A3A413">
      <w:pPr>
        <w:pStyle w:val="2"/>
        <w:keepNext w:val="0"/>
        <w:keepLines w:val="0"/>
        <w:widowControl/>
        <w:suppressLineNumbers w:val="0"/>
      </w:pPr>
      <w:r>
        <w:t>他对Black C.的区块链持观望态度，认为Stripe的渠道优势可能引发行业抵制，暗示垄断风险。整体来看，他的预测覆盖了市场热点，但部分判断缺乏数据支撑。</w:t>
      </w:r>
    </w:p>
    <w:p w14:paraId="4F1CE0AD">
      <w:pPr>
        <w:pStyle w:val="2"/>
        <w:keepNext w:val="0"/>
        <w:keepLines w:val="0"/>
        <w:widowControl/>
        <w:suppressLineNumbers w:val="0"/>
      </w:pPr>
      <w:r>
        <w:t>Qiang分析了Tapor链的快速结算特性，指出其牺牲了去中心化本质，强调以太坊的核心使命是抗审查和主权性，而非单纯追求效率。他认为效率提升如降低延迟或提高收益率，更适合中心化基础设施实现，暗示以太坊的价值在于长期稳定性而非短期收益。</w:t>
      </w:r>
    </w:p>
    <w:p w14:paraId="4E75F193">
      <w:pPr>
        <w:pStyle w:val="2"/>
        <w:keepNext w:val="0"/>
        <w:keepLines w:val="0"/>
        <w:widowControl/>
        <w:suppressLineNumbers w:val="0"/>
      </w:pPr>
      <w:r>
        <w:t>Qiang强调了以太坊的resilient特性，指出其核心价值在于抗审查和最小化依赖，而非单纯追求效率。他认为去中心化的区块空间具有独特优势，暗示这与近期NFT协议被Opensea等平台接纳的趋势相关。</w:t>
      </w:r>
    </w:p>
    <w:p w14:paraId="564B299F">
      <w:pPr>
        <w:pStyle w:val="2"/>
        <w:keepNext w:val="0"/>
        <w:keepLines w:val="0"/>
        <w:widowControl/>
        <w:suppressLineNumbers w:val="0"/>
      </w:pPr>
      <w:r>
        <w:t>值得注意的是，他对比了中心化方案的高效与以太坊的稳定性，透露出对技术路线选择的深层思考——牺牲部分性能换取长期可靠性。</w:t>
      </w:r>
    </w:p>
    <w:p w14:paraId="6FC312A3">
      <w:pPr>
        <w:pStyle w:val="2"/>
        <w:keepNext w:val="0"/>
        <w:keepLines w:val="0"/>
        <w:widowControl/>
        <w:suppressLineNumbers w:val="0"/>
      </w:pPr>
      <w:r>
        <w:t>Qiang介绍了NFT存储的几种模式：纯链下、链上哈希+链下存储、全链上存储，以及inchain这种代码生成图片的创新方式。他提到链下存储虽然便宜但存在数据丢失风险，比如IPFS经常找不到原数据，导致NFT图片失效。4804协议通过新的URL规范解决了这个问题，让交易所等能直接从链上获取信息，这也是OpenSea等平台近期支持该协议的原因。</w:t>
      </w:r>
    </w:p>
    <w:p w14:paraId="6DFB26DF">
      <w:pPr>
        <w:pStyle w:val="2"/>
        <w:keepNext w:val="0"/>
        <w:keepLines w:val="0"/>
        <w:widowControl/>
        <w:suppressLineNumbers w:val="0"/>
      </w:pPr>
      <w:r>
        <w:t>Qiang分享了openc新增7804支持的消息，暗示链上存储方案的优化趋势，并提到core协议也宣布支持。</w:t>
      </w:r>
    </w:p>
    <w:p w14:paraId="1AEF3EDC">
      <w:pPr>
        <w:pStyle w:val="2"/>
        <w:keepNext w:val="0"/>
        <w:keepLines w:val="0"/>
        <w:widowControl/>
        <w:suppressLineNumbers w:val="0"/>
      </w:pPr>
      <w:r>
        <w:t>DL随后分析了福萨卡升级对区块传播速度的影响，指出数据量增加会导致延迟上升，并强调pardus升级将区块容量扩容8倍，说明技术迭代对性能提升的关键作用。</w:t>
      </w:r>
    </w:p>
    <w:p w14:paraId="2E14940A">
      <w:pPr>
        <w:pStyle w:val="2"/>
        <w:keepNext w:val="0"/>
        <w:keepLines w:val="0"/>
        <w:widowControl/>
        <w:suppressLineNumbers w:val="0"/>
      </w:pPr>
      <w:r>
        <w:t>DL详细解释了Pardus升级对区块传播的优化机制：通过将128K的blob分解为128个column并分配子网验证，有效降低了单个validator的下载压力。他指出这种设计理论上能提升验证速度并减轻硬件负担，但实际效果仍受blob数量动态变化的影响。</w:t>
      </w:r>
    </w:p>
    <w:p w14:paraId="61396937">
      <w:pPr>
        <w:pStyle w:val="2"/>
        <w:keepNext w:val="0"/>
        <w:keepLines w:val="0"/>
        <w:widowControl/>
        <w:suppressLineNumbers w:val="0"/>
      </w:pPr>
      <w:r>
        <w:t>实验将重点监测两个关键指标——区块/数据延迟和验证成功率，暗示团队对网络稳定性与扩容效果的谨慎验证态度。</w:t>
      </w:r>
    </w:p>
    <w:p w14:paraId="33B1FA94">
      <w:pPr>
        <w:pStyle w:val="2"/>
        <w:keepNext w:val="0"/>
        <w:keepLines w:val="0"/>
        <w:widowControl/>
        <w:suppressLineNumbers w:val="0"/>
      </w:pPr>
      <w:r>
        <w:t>DL在三个实验环境中验证了增加block blob数量对性能的影响：主网在paas前、paas/ppo后、以及BTO two事件后的测试网。数据表明，blob数量增加确实导致延迟上升，投票率与block延迟呈正相关。他提出虽然当前影响不大，但随着blob增至几十个后问题会加剧，建议提前部署超级节点网络加速数据分发。</w:t>
      </w:r>
    </w:p>
    <w:p w14:paraId="57727C17">
      <w:pPr>
        <w:pStyle w:val="2"/>
        <w:keepNext w:val="0"/>
        <w:keepLines w:val="0"/>
        <w:widowControl/>
        <w:suppressLineNumbers w:val="0"/>
      </w:pPr>
      <w:r>
        <w:t>实验数据源自以太坊专业团队ispanda ops，结果显示95%的案例性能提升，但仍有5%表现较差。这暗示系统优化可能还需针对边缘场景调整。</w:t>
      </w:r>
    </w:p>
    <w:p w14:paraId="44A76D5B">
      <w:pPr>
        <w:pStyle w:val="2"/>
        <w:keepNext w:val="0"/>
        <w:keepLines w:val="0"/>
        <w:widowControl/>
        <w:suppressLineNumbers w:val="0"/>
      </w:pPr>
      <w:r>
        <w:t>DL展示了区块验证效率的对比数据，虚线代表优化前的性能，实线代表优化后，明显看出大部分验证者速度提升。他解释优化前需下载整个区块，而优化后只需下载8个关键数据即可验证，这种设计显著减少了数据传输量。值得注意的是，虽然95%的验证者性能提升，但仍有5%出现延迟，这可能与网络环境差异有关。</w:t>
      </w:r>
    </w:p>
    <w:p w14:paraId="0FD16ECE">
      <w:pPr>
        <w:pStyle w:val="2"/>
        <w:keepNext w:val="0"/>
        <w:keepLines w:val="0"/>
        <w:widowControl/>
        <w:suppressLineNumbers w:val="0"/>
      </w:pPr>
      <w:r>
        <w:t>DL通过对图表的分析指出，在95%-100%的区间内存在反直觉现象——后5%的validator在P大后验证成功率反而下降，这与之前整体提升的结论形成矛盾。他提到blob数量增加可能带来不可控风险，暗示扩展性存在潜在瓶颈。</w:t>
      </w:r>
    </w:p>
    <w:p w14:paraId="02C02929">
      <w:pPr>
        <w:pStyle w:val="2"/>
        <w:keepNext w:val="0"/>
        <w:keepLines w:val="0"/>
        <w:widowControl/>
        <w:suppressLineNumbers w:val="0"/>
      </w:pPr>
      <w:r>
        <w:t>值得注意的是，他特意强调这是"我无法接受的一个类"，表明对当前方案持保留态度。最后提到MEV利润驱动可能导致区块释放时间延长，点出了经济激励与系统稳定性之间的潜在冲突。</w:t>
      </w:r>
    </w:p>
    <w:p w14:paraId="212CCDB3">
      <w:pPr>
        <w:pStyle w:val="2"/>
        <w:keepNext w:val="0"/>
        <w:keepLines w:val="0"/>
        <w:widowControl/>
        <w:suppressLineNumbers w:val="0"/>
      </w:pPr>
      <w:r>
        <w:t>DL首先提到网络延时可能导致区块发布风险，反映出他对共识机制稳定性的担忧，建议部署超节点来缓解。随后他转向Web3行业分析，将发展分为上下半场：上半场依赖链上创新和币价上涨，但指出这种模式已因空气币和黑客事件而终结；下半场将转向合规化发展，显示出他对监管和资本市场的重视。</w:t>
      </w:r>
    </w:p>
    <w:p w14:paraId="6B2411F3">
      <w:pPr>
        <w:pStyle w:val="2"/>
        <w:keepNext w:val="0"/>
        <w:keepLines w:val="0"/>
        <w:widowControl/>
        <w:suppressLineNumbers w:val="0"/>
      </w:pPr>
      <w:r>
        <w:t>DL指出Web3领域正从链上交易量转向合规性和传统渠道对接能力，这一转变意味着行业正从野蛮生长进入规范发展阶段。他提到监管环境和传统合作是上行关键因素，但也警示了流动性、安全和监管风险。</w:t>
      </w:r>
    </w:p>
    <w:p w14:paraId="7222883B">
      <w:pPr>
        <w:pStyle w:val="2"/>
        <w:keepNext w:val="0"/>
        <w:keepLines w:val="0"/>
        <w:widowControl/>
        <w:suppressLineNumbers w:val="0"/>
      </w:pPr>
      <w:r>
        <w:t>他回顾了2025年市场表现，重金属和AI概念股表现强劲，而稳定币增长超过50%，USDT占据主导，USDC占比20%+，人民币稳定币几乎翻倍，显示出合规稳定币的强劲势头。去中心化交易所衍生品占比从5%增至12%，表明市场结构正在优化。</w:t>
      </w:r>
    </w:p>
    <w:p w14:paraId="07797973">
      <w:pPr>
        <w:pStyle w:val="2"/>
        <w:keepNext w:val="0"/>
        <w:keepLines w:val="0"/>
        <w:widowControl/>
        <w:suppressLineNumbers w:val="0"/>
      </w:pPr>
      <w:r>
        <w:t>DL提到特朗普相关事件涉及84.4亿美元暴击，暗示加密货币市场正面临重大政策冲击。他重点分析了美国政策动向：401条款允许养老金投资加密货币，总统行政令将比特币纳入战略储备，表明美国正试图通过政策手段为加密市场注入信心。监管层面对稳定币给予特殊待遇，反映监管态度正在转向务实。他还提到稳定币发行方IPO是加密资产进入传统金融的标志性事件，特别是通过美债担保机制为稳定币发展铺路，这实质上是美元扩张的新形式。最后他简要提及链上衍生品等热点。</w:t>
      </w:r>
    </w:p>
    <w:p w14:paraId="3D4CAF69">
      <w:pPr>
        <w:pStyle w:val="2"/>
        <w:keepNext w:val="0"/>
        <w:keepLines w:val="0"/>
        <w:widowControl/>
        <w:suppressLineNumbers w:val="0"/>
      </w:pPr>
      <w:r>
        <w:t>DL指出比特币暴跌30%与全球经济政策强相关，如加税和关税调整，凸显加密货币市场对传统经济的高度敏感。他提到加密财库（如maxstrategy）成为资产避险方式，但道德风险如老鼠仓仍不可忽视。</w:t>
      </w:r>
    </w:p>
    <w:p w14:paraId="6737ECE3">
      <w:pPr>
        <w:pStyle w:val="2"/>
        <w:keepNext w:val="0"/>
        <w:keepLines w:val="0"/>
        <w:widowControl/>
        <w:suppressLineNumbers w:val="0"/>
      </w:pPr>
      <w:r>
        <w:t>关于监管，他认为欧美对稳定币的框架已相对明确，暗示东大地区政策仍不明朗，建议放弃幻想转向合规操作。Web3被纳入传统金融体系后，其波动性将更受宏观经济因素牵制。</w:t>
      </w:r>
    </w:p>
    <w:p w14:paraId="1661ACD2">
      <w:pPr>
        <w:pStyle w:val="2"/>
        <w:keepNext w:val="0"/>
        <w:keepLines w:val="0"/>
        <w:widowControl/>
        <w:suppressLineNumbers w:val="0"/>
      </w:pPr>
      <w:r>
        <w:t>整体来看，加密市场正经历从野蛮生长到接受传统金融驯化的阵痛期，政策清晰化与资产合规化成为当前焦点。</w:t>
      </w:r>
    </w:p>
    <w:p w14:paraId="7B4124B7">
      <w:pPr>
        <w:pStyle w:val="2"/>
        <w:keepNext w:val="0"/>
        <w:keepLines w:val="0"/>
        <w:widowControl/>
        <w:suppressLineNumbers w:val="0"/>
      </w:pPr>
      <w:r>
        <w:t>DL从流动性角度分析了Web3资产的三大驱动力：稳定币作为基础层（预计2030年规模增长10倍至3000亿），ETF带来的标准化投资渠道，以及DAT实现的二级市场资本化。但他同时指出这些创新存在明显矛盾——稳定币本质上是用私有金融机构替代美联储职能，而DAT模式受加密资产波动性拖累可能影响企业财务稳定。</w:t>
      </w:r>
    </w:p>
    <w:p w14:paraId="58946A73">
      <w:pPr>
        <w:pStyle w:val="2"/>
        <w:keepNext w:val="0"/>
        <w:keepLines w:val="0"/>
        <w:widowControl/>
        <w:suppressLineNumbers w:val="0"/>
      </w:pPr>
      <w:r>
        <w:t>值得注意的是，他提到Web3资产已深度绑定传统金融体系，既要面对链上特性又要应对会计规则、监管政策等传统金融变量影响，这种双重属性正在加剧行业复杂性。</w:t>
      </w:r>
    </w:p>
    <w:p w14:paraId="11EDC5E2">
      <w:pPr>
        <w:pStyle w:val="2"/>
        <w:keepNext w:val="0"/>
        <w:keepLines w:val="0"/>
        <w:widowControl/>
        <w:suppressLineNumbers w:val="0"/>
      </w:pPr>
      <w:r>
        <w:t>DL指出场外资金杠杆化是双刃剑，暗示对流动性风险的担忧。他回顾了去年永续合约和RWA等创新，但认为预测市场表现不佳。对比特币价格预测相对保守（7.5万-14万），参照标普500涨幅仅10%几。</w:t>
      </w:r>
    </w:p>
    <w:p w14:paraId="5E506F39">
      <w:pPr>
        <w:pStyle w:val="2"/>
        <w:keepNext w:val="0"/>
        <w:keepLines w:val="0"/>
        <w:widowControl/>
        <w:suppressLineNumbers w:val="0"/>
      </w:pPr>
      <w:r>
        <w:t>他预判传统金融数字化将加速，提到纳斯达克可能推出24小时美股交易平台，但对其10%GDP上链的数据来源存疑。稳定币已渗透跨境支付和电商，而预测市场正尝试建立标准化风险管理框架，整体透露出对机构参与合规化的期待。</w:t>
      </w:r>
    </w:p>
    <w:p w14:paraId="727E50CF">
      <w:pPr>
        <w:pStyle w:val="2"/>
        <w:keepNext w:val="0"/>
        <w:keepLines w:val="0"/>
        <w:widowControl/>
        <w:suppressLineNumbers w:val="0"/>
      </w:pPr>
      <w:r>
        <w:t>DL指出当前行业正从比特币价格暴涨的假设转向更务实的阶段，反映出市场逐渐成熟。他提到金融巨头的入场带来资金和技术标准竞争，但也警示了2026年后可能面临的流动性逆转、监管收紧等风险。安全漏洞和DeFi信用危机仍是行业痛点，不过机构持续入场和技术进步（如以太坊）仍是积极信号。</w:t>
      </w:r>
    </w:p>
    <w:p w14:paraId="04F9FAA3">
      <w:pPr>
        <w:pStyle w:val="2"/>
        <w:keepNext w:val="0"/>
        <w:keepLines w:val="0"/>
        <w:widowControl/>
        <w:suppressLineNumbers w:val="0"/>
      </w:pPr>
      <w:r>
        <w:t>他特别强调币圈已从封闭走向开放，开始拥抱传统金融规则和政策监管，说明行业正在经历规范化转型。整体来看，他的分享透露出对行业未来既期待又谨慎的态度。</w:t>
      </w:r>
    </w:p>
    <w:p w14:paraId="47F9E8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8154A"/>
    <w:rsid w:val="40C8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2026-01-12T06:44:00Z</dcterms:created>
  <dc:creator>趴在窗边晒太阳</dc:creator>
  <cp:lastModifiedBy>趴在窗边晒太阳</cp:lastModifiedBy>
  <dcterms:modified xsi:type="dcterms:W3CDTF">2026-01-12T07:14:43Z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5A0FE13E9E664D469D7421539186B756_11</vt:lpwstr>
  </property>
  <property fmtid="{D5CDD505-2E9C-101B-9397-08002B2CF9AE}" pid="4" name="KSOTemplateDocerSaveRecord">
    <vt:lpwstr>eyJoZGlkIjoiNDU1YjlmM2EyMDlhYTc4OGU4ZTBkMGI5ODljOWQ2OTkiLCJ1c2VySWQiOiIyODgwNjYyODQifQ==</vt:lpwstr>
  </property>
</Properties>
</file>