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E1B81" w14:textId="29BA3991" w:rsidR="007B5C8E" w:rsidRDefault="007B5C8E" w:rsidP="007B5C8E">
      <w:pPr>
        <w:pStyle w:val="Author"/>
        <w:spacing w:before="100" w:beforeAutospacing="1" w:after="100" w:afterAutospacing="1"/>
        <w:rPr>
          <w:rFonts w:eastAsia="MS Mincho"/>
          <w:kern w:val="48"/>
          <w:sz w:val="48"/>
          <w:szCs w:val="48"/>
        </w:rPr>
      </w:pPr>
      <w:r w:rsidRPr="007B5C8E">
        <w:rPr>
          <w:rFonts w:eastAsia="MS Mincho"/>
          <w:kern w:val="48"/>
          <w:sz w:val="48"/>
          <w:szCs w:val="48"/>
        </w:rPr>
        <w:t>Securing AI Supply Chains</w:t>
      </w:r>
      <w:r>
        <w:rPr>
          <w:rFonts w:eastAsia="MS Mincho"/>
          <w:kern w:val="48"/>
          <w:sz w:val="48"/>
          <w:szCs w:val="48"/>
        </w:rPr>
        <w:t xml:space="preserve"> </w:t>
      </w:r>
      <w:r w:rsidRPr="007B5C8E">
        <w:rPr>
          <w:rFonts w:eastAsia="MS Mincho"/>
          <w:kern w:val="48"/>
          <w:sz w:val="48"/>
          <w:szCs w:val="48"/>
        </w:rPr>
        <w:t>via</w:t>
      </w:r>
    </w:p>
    <w:p w14:paraId="36D983D4" w14:textId="2B5C3ACF" w:rsidR="00D7522C" w:rsidRDefault="007B5C8E" w:rsidP="00D808D7">
      <w:pPr>
        <w:pStyle w:val="Author"/>
        <w:spacing w:before="100" w:beforeAutospacing="1" w:after="100" w:afterAutospacing="1"/>
        <w:rPr>
          <w:sz w:val="16"/>
          <w:szCs w:val="16"/>
        </w:rPr>
      </w:pPr>
      <w:r w:rsidRPr="007B5C8E">
        <w:rPr>
          <w:rFonts w:eastAsia="MS Mincho"/>
          <w:kern w:val="48"/>
          <w:sz w:val="48"/>
          <w:szCs w:val="48"/>
        </w:rPr>
        <w:t>Update Instability Analysis</w:t>
      </w:r>
      <w:r w:rsidR="00CA4392" w:rsidRPr="00CA4392">
        <w:rPr>
          <w:sz w:val="16"/>
          <w:szCs w:val="16"/>
        </w:rPr>
        <w:t xml:space="preserve"> </w:t>
      </w:r>
    </w:p>
    <w:p w14:paraId="37AE8BEA" w14:textId="77777777" w:rsidR="00D808D7" w:rsidRDefault="00D808D7" w:rsidP="00D808D7">
      <w:pPr>
        <w:pStyle w:val="Author"/>
        <w:spacing w:before="100" w:beforeAutospacing="1" w:after="100" w:afterAutospacing="1"/>
        <w:rPr>
          <w:sz w:val="18"/>
          <w:szCs w:val="18"/>
        </w:rPr>
      </w:pPr>
    </w:p>
    <w:p w14:paraId="6203E474" w14:textId="38A1F130" w:rsidR="00D808D7" w:rsidRDefault="00D808D7" w:rsidP="00D808D7">
      <w:pPr>
        <w:pStyle w:val="Author"/>
        <w:spacing w:before="0" w:after="0"/>
        <w:rPr>
          <w:sz w:val="18"/>
          <w:szCs w:val="18"/>
        </w:rPr>
      </w:pPr>
      <w:r>
        <w:rPr>
          <w:sz w:val="18"/>
          <w:szCs w:val="18"/>
        </w:rPr>
        <w:t>Asmit Chatterjee</w:t>
      </w:r>
    </w:p>
    <w:p w14:paraId="541CBDB1" w14:textId="58B3E5FD" w:rsidR="00D808D7" w:rsidRDefault="00D808D7" w:rsidP="00D808D7">
      <w:pPr>
        <w:pStyle w:val="Author"/>
        <w:spacing w:before="0" w:after="0"/>
        <w:rPr>
          <w:sz w:val="18"/>
          <w:szCs w:val="18"/>
        </w:rPr>
      </w:pPr>
      <w:r>
        <w:rPr>
          <w:sz w:val="18"/>
          <w:szCs w:val="18"/>
        </w:rPr>
        <w:t>Department of Computer Science and Engineering</w:t>
      </w:r>
    </w:p>
    <w:p w14:paraId="409F08E7" w14:textId="77777777" w:rsidR="00D808D7" w:rsidRDefault="00D808D7" w:rsidP="00D808D7">
      <w:pPr>
        <w:pStyle w:val="Author"/>
        <w:spacing w:before="0" w:after="0"/>
        <w:rPr>
          <w:sz w:val="18"/>
          <w:szCs w:val="18"/>
        </w:rPr>
      </w:pPr>
      <w:r>
        <w:rPr>
          <w:sz w:val="18"/>
          <w:szCs w:val="18"/>
        </w:rPr>
        <w:t>Manipal Institute of Technology, Bengaluru, India</w:t>
      </w:r>
    </w:p>
    <w:p w14:paraId="263B7B1A" w14:textId="77777777" w:rsidR="00D808D7" w:rsidRDefault="00D808D7" w:rsidP="00D808D7">
      <w:pPr>
        <w:pStyle w:val="Author"/>
        <w:spacing w:before="0" w:after="0"/>
        <w:rPr>
          <w:sz w:val="18"/>
          <w:szCs w:val="18"/>
        </w:rPr>
      </w:pPr>
    </w:p>
    <w:p w14:paraId="6D5EC157" w14:textId="44528A06" w:rsidR="00D808D7" w:rsidRPr="00D808D7" w:rsidRDefault="00D808D7" w:rsidP="00D808D7">
      <w:pPr>
        <w:pStyle w:val="Author"/>
        <w:spacing w:before="0" w:after="0"/>
        <w:rPr>
          <w:sz w:val="18"/>
          <w:szCs w:val="18"/>
        </w:rPr>
        <w:sectPr w:rsidR="00D808D7" w:rsidRPr="00D808D7" w:rsidSect="003B4E04">
          <w:footerReference w:type="first" r:id="rId8"/>
          <w:pgSz w:w="11906" w:h="16838" w:code="9"/>
          <w:pgMar w:top="540" w:right="893" w:bottom="1440" w:left="893" w:header="720" w:footer="720" w:gutter="0"/>
          <w:cols w:space="720"/>
          <w:titlePg/>
          <w:docGrid w:linePitch="360"/>
        </w:sectPr>
      </w:pPr>
    </w:p>
    <w:p w14:paraId="30E23281" w14:textId="1721DCA0" w:rsidR="009303D9" w:rsidRPr="00AB35D8" w:rsidRDefault="009303D9" w:rsidP="00D808D7">
      <w:pPr>
        <w:jc w:val="both"/>
        <w:rPr>
          <w:sz w:val="18"/>
          <w:szCs w:val="18"/>
        </w:rPr>
        <w:sectPr w:rsidR="009303D9" w:rsidRPr="00AB35D8" w:rsidSect="003B4E04">
          <w:type w:val="continuous"/>
          <w:pgSz w:w="11906" w:h="16838" w:code="9"/>
          <w:pgMar w:top="450" w:right="893" w:bottom="1440" w:left="893" w:header="720" w:footer="720" w:gutter="0"/>
          <w:cols w:num="3" w:space="720"/>
          <w:docGrid w:linePitch="360"/>
        </w:sectPr>
      </w:pPr>
    </w:p>
    <w:p w14:paraId="4B8D13C3" w14:textId="26F5EBB9" w:rsidR="00AB35D8" w:rsidRPr="007B1183" w:rsidRDefault="007B1183" w:rsidP="007B1183">
      <w:pPr>
        <w:pStyle w:val="Abstract"/>
        <w:rPr>
          <w:rFonts w:eastAsia="Times New Roman"/>
          <w:b w:val="0"/>
          <w:bCs w:val="0"/>
          <w:sz w:val="20"/>
          <w:szCs w:val="20"/>
          <w:lang w:val="en-IN" w:eastAsia="en-IN"/>
        </w:rPr>
      </w:pPr>
      <w:r w:rsidRPr="007B1183">
        <w:rPr>
          <w:i/>
          <w:iCs/>
          <w:sz w:val="20"/>
          <w:szCs w:val="20"/>
        </w:rPr>
        <w:t>Abstract—</w:t>
      </w:r>
      <w:r w:rsidR="00AB35D8" w:rsidRPr="00AB35D8">
        <w:rPr>
          <w:lang w:val="en-IN"/>
        </w:rPr>
        <w:t>This work evaluates the security of machine learning model updates using CIFAR-10, with deployment validation under dataset shift on STL-10. Experiments are conducted using standard convolutional architectures and post-training fine-</w:t>
      </w:r>
      <w:r w:rsidRPr="00AB35D8">
        <w:rPr>
          <w:lang w:val="en-IN"/>
        </w:rPr>
        <w:t>tuning. Modern</w:t>
      </w:r>
      <w:r w:rsidR="00AB35D8" w:rsidRPr="00AB35D8">
        <w:rPr>
          <w:lang w:val="en-IN"/>
        </w:rPr>
        <w:t xml:space="preserve"> AI supply chains increasingly rely on externally sourced model updates, yet existing validation mechanisms primarily depend on task accuracy, which fails to detect stealthy malicious </w:t>
      </w:r>
      <w:r w:rsidRPr="00AB35D8">
        <w:rPr>
          <w:lang w:val="en-IN"/>
        </w:rPr>
        <w:t>updates. We</w:t>
      </w:r>
      <w:r w:rsidR="00AB35D8" w:rsidRPr="00AB35D8">
        <w:rPr>
          <w:lang w:val="en-IN"/>
        </w:rPr>
        <w:t xml:space="preserve"> define Adversarial Model Update Poisoning (AMUP) as malicious behaviour injected through post-training updates and introduce Update Instability Score (UIS), a metric that measures prediction sensitivity to small parameter </w:t>
      </w:r>
      <w:r w:rsidRPr="00AB35D8">
        <w:rPr>
          <w:lang w:val="en-IN"/>
        </w:rPr>
        <w:t>perturbations. The</w:t>
      </w:r>
      <w:r w:rsidR="00AB35D8" w:rsidRPr="00AB35D8">
        <w:rPr>
          <w:lang w:val="en-IN"/>
        </w:rPr>
        <w:t xml:space="preserve"> objective is to detect malicious model updates prior to deployment without relying on accuracy </w:t>
      </w:r>
      <w:r w:rsidRPr="00AB35D8">
        <w:rPr>
          <w:lang w:val="en-IN"/>
        </w:rPr>
        <w:t>degradation. We</w:t>
      </w:r>
      <w:r w:rsidR="00AB35D8" w:rsidRPr="00AB35D8">
        <w:rPr>
          <w:lang w:val="en-IN"/>
        </w:rPr>
        <w:t xml:space="preserve"> simulate benign and malicious updates and evaluate UIS across attack strength, perturbation magnitude, model architecture, ensemble updates, and dataset </w:t>
      </w:r>
      <w:r w:rsidRPr="00AB35D8">
        <w:rPr>
          <w:lang w:val="en-IN"/>
        </w:rPr>
        <w:t>shift. Results</w:t>
      </w:r>
      <w:r w:rsidR="00AB35D8" w:rsidRPr="00AB35D8">
        <w:rPr>
          <w:lang w:val="en-IN"/>
        </w:rPr>
        <w:t xml:space="preserve"> show a 100 to 160 times separation between benign and poisoned updates with non-overlapping confidence intervals, even when accuracy remains </w:t>
      </w:r>
      <w:r w:rsidRPr="00AB35D8">
        <w:rPr>
          <w:lang w:val="en-IN"/>
        </w:rPr>
        <w:t>unchanged. These</w:t>
      </w:r>
      <w:r w:rsidR="00AB35D8" w:rsidRPr="00AB35D8">
        <w:rPr>
          <w:lang w:val="en-IN"/>
        </w:rPr>
        <w:t xml:space="preserve"> findings demonstrate that update-level instability provides a reliable and deployable signal for securing AI supply chains.</w:t>
      </w:r>
    </w:p>
    <w:p w14:paraId="649ED3A3" w14:textId="22702828" w:rsidR="00D808D7" w:rsidRPr="004D72B5" w:rsidRDefault="004D72B5" w:rsidP="00834110">
      <w:pPr>
        <w:pStyle w:val="Abstract"/>
      </w:pPr>
      <w:r w:rsidRPr="004D72B5">
        <w:t>Keywords—</w:t>
      </w:r>
      <w:r w:rsidR="00AB35D8" w:rsidRPr="00AB35D8">
        <w:rPr>
          <w:b w:val="0"/>
          <w:bCs w:val="0"/>
          <w:sz w:val="20"/>
          <w:szCs w:val="20"/>
        </w:rPr>
        <w:t xml:space="preserve"> </w:t>
      </w:r>
      <w:r w:rsidR="00AB35D8" w:rsidRPr="00AB35D8">
        <w:t>AI supply chain security, model update poisoning, adversarial machine learning, robustness, deployment validation</w:t>
      </w:r>
    </w:p>
    <w:p w14:paraId="3C2A05E2" w14:textId="68E49C30" w:rsidR="00D808D7" w:rsidRPr="00D632BE" w:rsidRDefault="00D808D7" w:rsidP="00D808D7">
      <w:pPr>
        <w:pStyle w:val="Heading1"/>
      </w:pPr>
      <w:r w:rsidRPr="00D632BE">
        <w:t>Introduction</w:t>
      </w:r>
    </w:p>
    <w:p w14:paraId="342D8EDD" w14:textId="77777777" w:rsidR="00D808D7" w:rsidRPr="00D808D7" w:rsidRDefault="00D808D7" w:rsidP="00A42786">
      <w:pPr>
        <w:spacing w:after="100" w:afterAutospacing="1"/>
        <w:jc w:val="both"/>
        <w:rPr>
          <w:rFonts w:eastAsia="Times New Roman"/>
          <w:lang w:val="en-IN" w:eastAsia="en-IN"/>
        </w:rPr>
      </w:pPr>
      <w:r w:rsidRPr="00D808D7">
        <w:rPr>
          <w:rFonts w:eastAsia="Times New Roman"/>
          <w:lang w:val="en-IN" w:eastAsia="en-IN"/>
        </w:rPr>
        <w:t>Machine learning models are increasingly deployed through distributed AI supply chains, where models are trained, updated, and maintained by multiple stakeholders. In practical scenarios such as cloud-based inference services, federated model maintenance, or third-party fine-tuning pipelines, model updates are often received from external or semi-trusted sources before deployment. These updates are typically validated using limited test data and standard accuracy checks, after which they are integrated into production systems. Such workflows introduce a critical security risk, as malicious updates can be injected at the update stage without direct access to the original training data.</w:t>
      </w:r>
    </w:p>
    <w:p w14:paraId="4C1BA4A0" w14:textId="77777777" w:rsidR="007B1183" w:rsidRDefault="00D808D7" w:rsidP="00D808D7">
      <w:pPr>
        <w:spacing w:before="100" w:beforeAutospacing="1" w:after="100" w:afterAutospacing="1"/>
        <w:jc w:val="both"/>
        <w:rPr>
          <w:rFonts w:eastAsia="Times New Roman"/>
          <w:lang w:val="en-IN" w:eastAsia="en-IN"/>
        </w:rPr>
      </w:pPr>
      <w:r w:rsidRPr="00D808D7">
        <w:rPr>
          <w:rFonts w:eastAsia="Times New Roman"/>
          <w:lang w:val="en-IN" w:eastAsia="en-IN"/>
        </w:rPr>
        <w:t xml:space="preserve">In these scenarios, existing validation mechanisms are insufficient. Accuracy-based evaluation assumes that malicious </w:t>
      </w:r>
      <w:r w:rsidR="00547634" w:rsidRPr="00D808D7">
        <w:rPr>
          <w:rFonts w:eastAsia="Times New Roman"/>
          <w:lang w:val="en-IN" w:eastAsia="en-IN"/>
        </w:rPr>
        <w:t>behaviour</w:t>
      </w:r>
      <w:r w:rsidRPr="00D808D7">
        <w:rPr>
          <w:rFonts w:eastAsia="Times New Roman"/>
          <w:lang w:val="en-IN" w:eastAsia="en-IN"/>
        </w:rPr>
        <w:t xml:space="preserve"> will manifest as a drop in overall performance; however, adversarial updates can be crafted to preserve global accuracy while embedding targeted or undesired </w:t>
      </w:r>
      <w:r w:rsidR="00547634" w:rsidRPr="00D808D7">
        <w:rPr>
          <w:rFonts w:eastAsia="Times New Roman"/>
          <w:lang w:val="en-IN" w:eastAsia="en-IN"/>
        </w:rPr>
        <w:t>behaviours</w:t>
      </w:r>
      <w:r w:rsidRPr="00D808D7">
        <w:rPr>
          <w:rFonts w:eastAsia="Times New Roman"/>
          <w:lang w:val="en-IN" w:eastAsia="en-IN"/>
        </w:rPr>
        <w:t>. As a result, a poisoned update may pass all conventional checks and still compromise downstream systems. This limitation is especially problematic in deployment settings where updates must be</w:t>
      </w:r>
    </w:p>
    <w:p w14:paraId="52CE7AA4" w14:textId="075E6A2B" w:rsidR="00D808D7" w:rsidRPr="00D808D7" w:rsidRDefault="00D808D7" w:rsidP="00D808D7">
      <w:pPr>
        <w:spacing w:before="100" w:beforeAutospacing="1" w:after="100" w:afterAutospacing="1"/>
        <w:jc w:val="both"/>
        <w:rPr>
          <w:rFonts w:eastAsia="Times New Roman"/>
          <w:lang w:val="en-IN" w:eastAsia="en-IN"/>
        </w:rPr>
      </w:pPr>
      <w:r w:rsidRPr="00D808D7">
        <w:rPr>
          <w:rFonts w:eastAsia="Times New Roman"/>
          <w:lang w:val="en-IN" w:eastAsia="en-IN"/>
        </w:rPr>
        <w:t>evaluated quickly, labels may be unavailable, and retraining from scratch is infeasible.</w:t>
      </w:r>
    </w:p>
    <w:p w14:paraId="5643D4EC" w14:textId="46921CD0" w:rsidR="00D808D7" w:rsidRPr="00D808D7" w:rsidRDefault="00D808D7" w:rsidP="00D808D7">
      <w:pPr>
        <w:spacing w:before="100" w:beforeAutospacing="1" w:after="100" w:afterAutospacing="1"/>
        <w:jc w:val="both"/>
        <w:rPr>
          <w:rFonts w:eastAsia="Times New Roman"/>
          <w:sz w:val="24"/>
          <w:szCs w:val="24"/>
          <w:lang w:val="en-IN" w:eastAsia="en-IN"/>
        </w:rPr>
      </w:pPr>
      <w:r w:rsidRPr="00D808D7">
        <w:rPr>
          <w:rFonts w:eastAsia="Times New Roman"/>
          <w:lang w:val="en-IN" w:eastAsia="en-IN"/>
        </w:rPr>
        <w:t xml:space="preserve">To address this gap, we study </w:t>
      </w:r>
      <w:r w:rsidRPr="00D808D7">
        <w:rPr>
          <w:rFonts w:eastAsia="Times New Roman"/>
          <w:i/>
          <w:iCs/>
          <w:lang w:val="en-IN" w:eastAsia="en-IN"/>
        </w:rPr>
        <w:t>Adversarial Model Update Poisoning (AMUP)</w:t>
      </w:r>
      <w:r w:rsidRPr="00D808D7">
        <w:rPr>
          <w:rFonts w:eastAsia="Times New Roman"/>
          <w:lang w:val="en-IN" w:eastAsia="en-IN"/>
        </w:rPr>
        <w:t xml:space="preserve"> as a realistic threat model for AI supply chains. We propose </w:t>
      </w:r>
      <w:r w:rsidRPr="00D808D7">
        <w:rPr>
          <w:rFonts w:eastAsia="Times New Roman"/>
          <w:i/>
          <w:iCs/>
          <w:lang w:val="en-IN" w:eastAsia="en-IN"/>
        </w:rPr>
        <w:t>Update Instability Score (UIS)</w:t>
      </w:r>
      <w:r w:rsidRPr="00D808D7">
        <w:rPr>
          <w:rFonts w:eastAsia="Times New Roman"/>
          <w:lang w:val="en-IN" w:eastAsia="en-IN"/>
        </w:rPr>
        <w:t xml:space="preserve">, a lightweight metric that evaluates the </w:t>
      </w:r>
      <w:r w:rsidR="00547634" w:rsidRPr="00D808D7">
        <w:rPr>
          <w:rFonts w:eastAsia="Times New Roman"/>
          <w:lang w:val="en-IN" w:eastAsia="en-IN"/>
        </w:rPr>
        <w:t>behavioural</w:t>
      </w:r>
      <w:r w:rsidRPr="00D808D7">
        <w:rPr>
          <w:rFonts w:eastAsia="Times New Roman"/>
          <w:lang w:val="en-IN" w:eastAsia="en-IN"/>
        </w:rPr>
        <w:t xml:space="preserve"> stability of a model update by measuring prediction sensitivity under small parameter perturbations. Unlike accuracy-based validation, UIS operates independently of task performance and can be applied prior to deployment. Through controlled experiments, ablation studies, and deployment-oriented evaluations, we demonstrate that UIS provides a reliable signal for detecting malicious updates in modern AI supply chains.</w:t>
      </w:r>
    </w:p>
    <w:p w14:paraId="52FF38CF" w14:textId="7FFEB9E8" w:rsidR="009303D9" w:rsidRPr="006B6B66" w:rsidRDefault="00D808D7" w:rsidP="006B6B66">
      <w:pPr>
        <w:pStyle w:val="Heading1"/>
      </w:pPr>
      <w:r>
        <w:t>Related Work</w:t>
      </w:r>
    </w:p>
    <w:p w14:paraId="65A34444" w14:textId="152B7870" w:rsidR="00D808D7" w:rsidRPr="00D808D7" w:rsidRDefault="00D808D7" w:rsidP="00A42786">
      <w:pPr>
        <w:spacing w:after="100" w:afterAutospacing="1"/>
        <w:jc w:val="both"/>
        <w:rPr>
          <w:rFonts w:eastAsia="Times New Roman"/>
          <w:lang w:val="en-IN" w:eastAsia="en-IN"/>
        </w:rPr>
      </w:pPr>
      <w:r w:rsidRPr="00D808D7">
        <w:rPr>
          <w:rFonts w:eastAsia="Times New Roman"/>
          <w:lang w:val="en-IN" w:eastAsia="en-IN"/>
        </w:rPr>
        <w:t xml:space="preserve">Prior work on machine learning security has extensively studied data poisoning and backdoor attacks, where adversaries manipulate training data or embed triggers to induce targeted misclassification. These approaches typically assume access to the training pipeline and focus on detecting anomalous data patterns or trigger-based </w:t>
      </w:r>
      <w:r w:rsidR="00547634" w:rsidRPr="00D808D7">
        <w:rPr>
          <w:rFonts w:eastAsia="Times New Roman"/>
          <w:lang w:val="en-IN" w:eastAsia="en-IN"/>
        </w:rPr>
        <w:t>behaviours</w:t>
      </w:r>
      <w:r w:rsidRPr="00D808D7">
        <w:rPr>
          <w:rFonts w:eastAsia="Times New Roman"/>
          <w:lang w:val="en-IN" w:eastAsia="en-IN"/>
        </w:rPr>
        <w:t>. While effective in certain settings, such methods do not directly address scenarios where the adversary operates at the model update stage, without modifying the original training data or introducing explicit triggers.</w:t>
      </w:r>
    </w:p>
    <w:p w14:paraId="437EE07C" w14:textId="37225B5A" w:rsidR="00D808D7" w:rsidRPr="00D808D7" w:rsidRDefault="00D808D7" w:rsidP="00547634">
      <w:pPr>
        <w:spacing w:before="100" w:beforeAutospacing="1" w:after="100" w:afterAutospacing="1"/>
        <w:jc w:val="both"/>
        <w:rPr>
          <w:rFonts w:eastAsia="Times New Roman"/>
          <w:lang w:val="en-IN" w:eastAsia="en-IN"/>
        </w:rPr>
      </w:pPr>
      <w:r w:rsidRPr="00D808D7">
        <w:rPr>
          <w:rFonts w:eastAsia="Times New Roman"/>
          <w:lang w:val="en-IN" w:eastAsia="en-IN"/>
        </w:rPr>
        <w:t xml:space="preserve">Recent studies have begun exploring machine learning supply-chain threats, including compromised pre-trained models, poisoned fine-tuning, and framework-level attacks. Detection techniques in this space often rely on task-level metrics such as accuracy degradation, attack success rate, or performance on specially constructed test inputs. However, several works have shown that malicious updates can preserve global accuracy while embedding targeted or subtle </w:t>
      </w:r>
      <w:r w:rsidR="00547634" w:rsidRPr="00D808D7">
        <w:rPr>
          <w:rFonts w:eastAsia="Times New Roman"/>
          <w:lang w:val="en-IN" w:eastAsia="en-IN"/>
        </w:rPr>
        <w:t>misbehaviour</w:t>
      </w:r>
      <w:r w:rsidRPr="00D808D7">
        <w:rPr>
          <w:rFonts w:eastAsia="Times New Roman"/>
          <w:lang w:val="en-IN" w:eastAsia="en-IN"/>
        </w:rPr>
        <w:t xml:space="preserve">, allowing them to bypass conventional validation pipelines. This limitation highlights the need for </w:t>
      </w:r>
      <w:r w:rsidR="00547634" w:rsidRPr="00D808D7">
        <w:rPr>
          <w:rFonts w:eastAsia="Times New Roman"/>
          <w:lang w:val="en-IN" w:eastAsia="en-IN"/>
        </w:rPr>
        <w:t>defences</w:t>
      </w:r>
      <w:r w:rsidRPr="00D808D7">
        <w:rPr>
          <w:rFonts w:eastAsia="Times New Roman"/>
          <w:lang w:val="en-IN" w:eastAsia="en-IN"/>
        </w:rPr>
        <w:t xml:space="preserve"> that operate independently of task performance.</w:t>
      </w:r>
    </w:p>
    <w:p w14:paraId="7576D195" w14:textId="3EDDD892" w:rsidR="00D808D7" w:rsidRPr="00D808D7" w:rsidRDefault="00D808D7" w:rsidP="00547634">
      <w:pPr>
        <w:spacing w:before="100" w:beforeAutospacing="1" w:after="100" w:afterAutospacing="1"/>
        <w:jc w:val="both"/>
        <w:rPr>
          <w:rFonts w:eastAsia="Times New Roman"/>
          <w:lang w:val="en-IN" w:eastAsia="en-IN"/>
        </w:rPr>
      </w:pPr>
      <w:r w:rsidRPr="00D808D7">
        <w:rPr>
          <w:rFonts w:eastAsia="Times New Roman"/>
          <w:lang w:val="en-IN" w:eastAsia="en-IN"/>
        </w:rPr>
        <w:t xml:space="preserve">A smaller body of work has proposed robustness and stability-based metrics, such as gradient norms, loss sensitivity, or noise-induced prediction changes, to characterize model </w:t>
      </w:r>
      <w:r w:rsidR="00547634" w:rsidRPr="00D808D7">
        <w:rPr>
          <w:rFonts w:eastAsia="Times New Roman"/>
          <w:lang w:val="en-IN" w:eastAsia="en-IN"/>
        </w:rPr>
        <w:t>behaviour</w:t>
      </w:r>
      <w:r w:rsidRPr="00D808D7">
        <w:rPr>
          <w:rFonts w:eastAsia="Times New Roman"/>
          <w:lang w:val="en-IN" w:eastAsia="en-IN"/>
        </w:rPr>
        <w:t xml:space="preserve">. While these methods provide useful insights, they often lack clear decision thresholds, exhibit high variance across architectures, or degrade under dataset shift. In contrast, our work focuses explicitly on update-level </w:t>
      </w:r>
      <w:r w:rsidR="00547634" w:rsidRPr="00D808D7">
        <w:rPr>
          <w:rFonts w:eastAsia="Times New Roman"/>
          <w:lang w:val="en-IN" w:eastAsia="en-IN"/>
        </w:rPr>
        <w:t>behavioural</w:t>
      </w:r>
      <w:r w:rsidRPr="00D808D7">
        <w:rPr>
          <w:rFonts w:eastAsia="Times New Roman"/>
          <w:lang w:val="en-IN" w:eastAsia="en-IN"/>
        </w:rPr>
        <w:t xml:space="preserve"> instability and introduces Update Instability Score (UIS) as a lightweight and statistically </w:t>
      </w:r>
      <w:r w:rsidRPr="00D808D7">
        <w:rPr>
          <w:rFonts w:eastAsia="Times New Roman"/>
          <w:lang w:val="en-IN" w:eastAsia="en-IN"/>
        </w:rPr>
        <w:lastRenderedPageBreak/>
        <w:t>separable metric for detecting malicious model updates in realistic deployment settings.</w:t>
      </w:r>
    </w:p>
    <w:p w14:paraId="55983A04" w14:textId="39F2CF1E" w:rsidR="009303D9" w:rsidRDefault="00547634" w:rsidP="006B6B66">
      <w:pPr>
        <w:pStyle w:val="Heading1"/>
      </w:pPr>
      <w:r>
        <w:t>Problem Statement and motivation</w:t>
      </w:r>
    </w:p>
    <w:p w14:paraId="5824E88F" w14:textId="77A5D9E0" w:rsidR="0012699C" w:rsidRDefault="00547634" w:rsidP="00A42786">
      <w:pPr>
        <w:jc w:val="both"/>
        <w:rPr>
          <w:rFonts w:eastAsia="Times New Roman"/>
          <w:lang w:val="en-IN" w:eastAsia="en-IN"/>
        </w:rPr>
      </w:pPr>
      <w:r w:rsidRPr="00547634">
        <w:rPr>
          <w:rFonts w:eastAsia="Times New Roman"/>
          <w:lang w:val="en-IN" w:eastAsia="en-IN"/>
        </w:rPr>
        <w:t>Existing AI model update validation pipelines suffer from three major limitations: (</w:t>
      </w:r>
      <w:r w:rsidR="007B1183" w:rsidRPr="00547634">
        <w:rPr>
          <w:rFonts w:eastAsia="Times New Roman"/>
          <w:lang w:val="en-IN" w:eastAsia="en-IN"/>
        </w:rPr>
        <w:t>I</w:t>
      </w:r>
      <w:r w:rsidRPr="00547634">
        <w:rPr>
          <w:rFonts w:eastAsia="Times New Roman"/>
          <w:lang w:val="en-IN" w:eastAsia="en-IN"/>
        </w:rPr>
        <w:t>) reliance on task-level accuracy for update verification, (ii) inability to detect stealthy update-only attacks that preserve global performance, and (iii) lack of robustness under architectural variation and dataset shift. These limitations allow adversarial model updates to bypass conventional checks and be deployed undetected in modern AI supply chains.</w:t>
      </w:r>
    </w:p>
    <w:p w14:paraId="719A5F68" w14:textId="114D3159" w:rsidR="009303D9" w:rsidRPr="00A918F2" w:rsidRDefault="00547634" w:rsidP="00A918F2">
      <w:pPr>
        <w:jc w:val="both"/>
        <w:rPr>
          <w:rFonts w:eastAsia="Times New Roman"/>
          <w:lang w:val="en-IN" w:eastAsia="en-IN"/>
        </w:rPr>
      </w:pPr>
      <w:r w:rsidRPr="00547634">
        <w:rPr>
          <w:rFonts w:eastAsia="Times New Roman"/>
          <w:lang w:val="en-IN" w:eastAsia="en-IN"/>
        </w:rPr>
        <w:t xml:space="preserve">The objective of this work is to design a lightweight, deployment-ready validation mechanism that detects malicious model updates prior to deployment by </w:t>
      </w:r>
      <w:r w:rsidR="007B1183" w:rsidRPr="00547634">
        <w:rPr>
          <w:rFonts w:eastAsia="Times New Roman"/>
          <w:lang w:val="en-IN" w:eastAsia="en-IN"/>
        </w:rPr>
        <w:t>analysing</w:t>
      </w:r>
      <w:r w:rsidRPr="00547634">
        <w:rPr>
          <w:rFonts w:eastAsia="Times New Roman"/>
          <w:lang w:val="en-IN" w:eastAsia="en-IN"/>
        </w:rPr>
        <w:t xml:space="preserve"> update-level </w:t>
      </w:r>
      <w:r w:rsidR="007B1183" w:rsidRPr="00547634">
        <w:rPr>
          <w:rFonts w:eastAsia="Times New Roman"/>
          <w:lang w:val="en-IN" w:eastAsia="en-IN"/>
        </w:rPr>
        <w:t>behavioural</w:t>
      </w:r>
      <w:r w:rsidRPr="00547634">
        <w:rPr>
          <w:rFonts w:eastAsia="Times New Roman"/>
          <w:lang w:val="en-IN" w:eastAsia="en-IN"/>
        </w:rPr>
        <w:t xml:space="preserve"> instability, without requiring </w:t>
      </w:r>
      <w:r w:rsidR="007B1183" w:rsidRPr="00547634">
        <w:rPr>
          <w:rFonts w:eastAsia="Times New Roman"/>
          <w:lang w:val="en-IN" w:eastAsia="en-IN"/>
        </w:rPr>
        <w:t>labelled</w:t>
      </w:r>
      <w:r w:rsidRPr="00547634">
        <w:rPr>
          <w:rFonts w:eastAsia="Times New Roman"/>
          <w:lang w:val="en-IN" w:eastAsia="en-IN"/>
        </w:rPr>
        <w:t xml:space="preserve"> data, retraining, or accuracy degradation.</w:t>
      </w:r>
    </w:p>
    <w:p w14:paraId="483EAD19" w14:textId="77777777" w:rsidR="00834110" w:rsidRPr="00A918F2" w:rsidRDefault="00547634" w:rsidP="00834110">
      <w:pPr>
        <w:pStyle w:val="Heading1"/>
        <w:rPr>
          <w:color w:val="000000" w:themeColor="text1"/>
        </w:rPr>
      </w:pPr>
      <w:r>
        <w:t>System Architecture</w:t>
      </w:r>
      <w:r w:rsidR="00834110" w:rsidRPr="00A918F2">
        <w:rPr>
          <w:rFonts w:eastAsia="Times New Roman"/>
          <w:color w:val="000000" w:themeColor="text1"/>
          <w:lang w:val="en-IN" w:eastAsia="en-IN"/>
        </w:rPr>
        <w:drawing>
          <wp:inline distT="0" distB="0" distL="0" distR="0" wp14:anchorId="380CFDD9" wp14:editId="5465BCFE">
            <wp:extent cx="2273158" cy="2728392"/>
            <wp:effectExtent l="0" t="0" r="0" b="0"/>
            <wp:docPr id="1891301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434" b="16509"/>
                    <a:stretch>
                      <a:fillRect/>
                    </a:stretch>
                  </pic:blipFill>
                  <pic:spPr bwMode="auto">
                    <a:xfrm>
                      <a:off x="0" y="0"/>
                      <a:ext cx="2279659" cy="2736195"/>
                    </a:xfrm>
                    <a:prstGeom prst="rect">
                      <a:avLst/>
                    </a:prstGeom>
                    <a:noFill/>
                    <a:ln>
                      <a:noFill/>
                    </a:ln>
                    <a:extLst>
                      <a:ext uri="{53640926-AAD7-44D8-BBD7-CCE9431645EC}">
                        <a14:shadowObscured xmlns:a14="http://schemas.microsoft.com/office/drawing/2010/main"/>
                      </a:ext>
                    </a:extLst>
                  </pic:spPr>
                </pic:pic>
              </a:graphicData>
            </a:graphic>
          </wp:inline>
        </w:drawing>
      </w:r>
    </w:p>
    <w:p w14:paraId="4A4B061A" w14:textId="60633310" w:rsidR="009303D9" w:rsidRPr="00A73A6C" w:rsidRDefault="00834110" w:rsidP="00834110">
      <w:pPr>
        <w:pStyle w:val="Caption"/>
        <w:rPr>
          <w:color w:val="000000" w:themeColor="text1"/>
          <w:sz w:val="16"/>
          <w:szCs w:val="16"/>
        </w:rPr>
      </w:pPr>
      <w:r w:rsidRPr="00A73A6C">
        <w:rPr>
          <w:color w:val="000000" w:themeColor="text1"/>
          <w:sz w:val="16"/>
          <w:szCs w:val="16"/>
        </w:rPr>
        <w:t xml:space="preserve">Fig </w:t>
      </w:r>
      <w:r w:rsidRPr="00A73A6C">
        <w:rPr>
          <w:color w:val="000000" w:themeColor="text1"/>
          <w:sz w:val="16"/>
          <w:szCs w:val="16"/>
        </w:rPr>
        <w:fldChar w:fldCharType="begin"/>
      </w:r>
      <w:r w:rsidRPr="00A73A6C">
        <w:rPr>
          <w:color w:val="000000" w:themeColor="text1"/>
          <w:sz w:val="16"/>
          <w:szCs w:val="16"/>
        </w:rPr>
        <w:instrText xml:space="preserve"> SEQ Figure \* ARABIC </w:instrText>
      </w:r>
      <w:r w:rsidRPr="00A73A6C">
        <w:rPr>
          <w:color w:val="000000" w:themeColor="text1"/>
          <w:sz w:val="16"/>
          <w:szCs w:val="16"/>
        </w:rPr>
        <w:fldChar w:fldCharType="separate"/>
      </w:r>
      <w:r w:rsidR="00825C5A">
        <w:rPr>
          <w:noProof/>
          <w:color w:val="000000" w:themeColor="text1"/>
          <w:sz w:val="16"/>
          <w:szCs w:val="16"/>
        </w:rPr>
        <w:t>1</w:t>
      </w:r>
      <w:r w:rsidRPr="00A73A6C">
        <w:rPr>
          <w:color w:val="000000" w:themeColor="text1"/>
          <w:sz w:val="16"/>
          <w:szCs w:val="16"/>
        </w:rPr>
        <w:fldChar w:fldCharType="end"/>
      </w:r>
      <w:r w:rsidRPr="00A73A6C">
        <w:rPr>
          <w:color w:val="000000" w:themeColor="text1"/>
          <w:sz w:val="16"/>
          <w:szCs w:val="16"/>
        </w:rPr>
        <w:t>. System architecture for pre-deployment validation of model updates using Update Instability Score (UIS).</w:t>
      </w:r>
    </w:p>
    <w:p w14:paraId="5FF4B92F" w14:textId="77777777" w:rsidR="0012699C" w:rsidRPr="0012699C" w:rsidRDefault="0012699C" w:rsidP="005D1465">
      <w:pPr>
        <w:spacing w:before="100" w:beforeAutospacing="1" w:after="100" w:afterAutospacing="1"/>
        <w:jc w:val="both"/>
        <w:rPr>
          <w:rFonts w:eastAsia="Times New Roman"/>
          <w:lang w:val="en-IN" w:eastAsia="en-IN"/>
        </w:rPr>
      </w:pPr>
      <w:r w:rsidRPr="0012699C">
        <w:rPr>
          <w:rFonts w:eastAsia="Times New Roman"/>
          <w:lang w:val="en-IN" w:eastAsia="en-IN"/>
        </w:rPr>
        <w:t>The proposed system consists of a base model training stage, an update ingestion module, and a pre-deployment validation component. A trusted base model is first trained and subsequently receives either benign or externally sourced fine-tuning updates. Each incoming update is evaluated prior to deployment using the Update Instability Score (UIS), which measures prediction sensitivity under small parameter perturbations.</w:t>
      </w:r>
    </w:p>
    <w:p w14:paraId="16E89FBC" w14:textId="632E93D8" w:rsidR="00834110" w:rsidRDefault="0012699C" w:rsidP="005D1465">
      <w:pPr>
        <w:spacing w:before="100" w:beforeAutospacing="1" w:after="100" w:afterAutospacing="1"/>
        <w:jc w:val="both"/>
        <w:rPr>
          <w:rFonts w:eastAsia="Times New Roman"/>
          <w:lang w:val="en-IN" w:eastAsia="en-IN"/>
        </w:rPr>
      </w:pPr>
      <w:r w:rsidRPr="0012699C">
        <w:rPr>
          <w:rFonts w:eastAsia="Times New Roman"/>
          <w:lang w:val="en-IN" w:eastAsia="en-IN"/>
        </w:rPr>
        <w:t>Based on the computed UIS, the system performs update validation by distinguishing stable benign updates from unstable malicious ones. Updates that exceed a predefined instability threshold are flagged and rejected, while stable updates are approved for deployment. This architecture is lightweight, model-agnostic, and can be integrated into existing AI supply-chain pipelines without modifying the</w:t>
      </w:r>
      <w:r w:rsidR="00A55BF4">
        <w:rPr>
          <w:rFonts w:eastAsia="Times New Roman"/>
          <w:lang w:val="en-IN" w:eastAsia="en-IN"/>
        </w:rPr>
        <w:t xml:space="preserve"> training process or relying on task-level accuracy.</w:t>
      </w:r>
    </w:p>
    <w:p w14:paraId="04ACA5EF" w14:textId="18F309F6" w:rsidR="0012699C" w:rsidRDefault="0012699C" w:rsidP="0012699C">
      <w:pPr>
        <w:pStyle w:val="Heading1"/>
      </w:pPr>
      <w:r>
        <w:t>Methodology</w:t>
      </w:r>
    </w:p>
    <w:p w14:paraId="41D709A2" w14:textId="5CC1FD9A" w:rsidR="003A476D" w:rsidRPr="0012699C" w:rsidRDefault="0012699C" w:rsidP="00A42786">
      <w:pPr>
        <w:spacing w:after="100" w:afterAutospacing="1"/>
        <w:jc w:val="both"/>
        <w:rPr>
          <w:rFonts w:eastAsia="Times New Roman"/>
          <w:lang w:val="en-IN" w:eastAsia="en-IN"/>
        </w:rPr>
      </w:pPr>
      <w:r w:rsidRPr="0012699C">
        <w:rPr>
          <w:rFonts w:eastAsia="Times New Roman"/>
          <w:lang w:val="en-IN" w:eastAsia="en-IN"/>
        </w:rPr>
        <w:t xml:space="preserve">The proposed methodology evaluates the security of AI model updates under adversarial conditions by </w:t>
      </w:r>
      <w:r w:rsidR="007B1183" w:rsidRPr="0012699C">
        <w:rPr>
          <w:rFonts w:eastAsia="Times New Roman"/>
          <w:lang w:val="en-IN" w:eastAsia="en-IN"/>
        </w:rPr>
        <w:t>analysing</w:t>
      </w:r>
      <w:r w:rsidRPr="0012699C">
        <w:rPr>
          <w:rFonts w:eastAsia="Times New Roman"/>
          <w:lang w:val="en-IN" w:eastAsia="en-IN"/>
        </w:rPr>
        <w:t xml:space="preserve"> update-level </w:t>
      </w:r>
      <w:r w:rsidR="007B1183" w:rsidRPr="0012699C">
        <w:rPr>
          <w:rFonts w:eastAsia="Times New Roman"/>
          <w:lang w:val="en-IN" w:eastAsia="en-IN"/>
        </w:rPr>
        <w:t>behavioural</w:t>
      </w:r>
      <w:r w:rsidRPr="0012699C">
        <w:rPr>
          <w:rFonts w:eastAsia="Times New Roman"/>
          <w:lang w:val="en-IN" w:eastAsia="en-IN"/>
        </w:rPr>
        <w:t xml:space="preserve"> stability. The approach simulates benign and malicious model updates and validates them prior to deployment using a lightweight instability metric.</w:t>
      </w:r>
    </w:p>
    <w:p w14:paraId="50D9E1E0" w14:textId="77777777" w:rsidR="005D1465" w:rsidRPr="005D1465" w:rsidRDefault="005D1465" w:rsidP="005D1465">
      <w:pPr>
        <w:spacing w:before="100" w:beforeAutospacing="1" w:after="100" w:afterAutospacing="1"/>
        <w:ind w:left="216"/>
        <w:jc w:val="left"/>
        <w:rPr>
          <w:rFonts w:eastAsia="Times New Roman"/>
          <w:b/>
          <w:bCs/>
          <w:lang w:val="en-IN" w:eastAsia="en-IN"/>
        </w:rPr>
      </w:pPr>
      <w:r w:rsidRPr="005D1465">
        <w:rPr>
          <w:rFonts w:eastAsia="Times New Roman"/>
          <w:b/>
          <w:bCs/>
          <w:lang w:val="en-IN" w:eastAsia="en-IN"/>
        </w:rPr>
        <w:t>A. Dataset Description and Experimental Setup</w:t>
      </w:r>
    </w:p>
    <w:p w14:paraId="51BB3B9F" w14:textId="44FEC602" w:rsidR="005D1465" w:rsidRPr="005D1465" w:rsidRDefault="005D1465" w:rsidP="005D1465">
      <w:pPr>
        <w:spacing w:before="100" w:beforeAutospacing="1" w:after="100" w:afterAutospacing="1"/>
        <w:jc w:val="both"/>
        <w:rPr>
          <w:rFonts w:eastAsia="Times New Roman"/>
          <w:lang w:val="en-IN" w:eastAsia="en-IN"/>
        </w:rPr>
      </w:pPr>
      <w:r w:rsidRPr="005D1465">
        <w:rPr>
          <w:rFonts w:eastAsia="Times New Roman"/>
          <w:lang w:val="en-IN" w:eastAsia="en-IN"/>
        </w:rPr>
        <w:t xml:space="preserve">Experiments are conducted using the CIFAR-10 dataset, which consists of 60,000 </w:t>
      </w:r>
      <w:r w:rsidR="007B1183" w:rsidRPr="005D1465">
        <w:rPr>
          <w:rFonts w:eastAsia="Times New Roman"/>
          <w:lang w:val="en-IN" w:eastAsia="en-IN"/>
        </w:rPr>
        <w:t>labelled</w:t>
      </w:r>
      <w:r w:rsidRPr="005D1465">
        <w:rPr>
          <w:rFonts w:eastAsia="Times New Roman"/>
          <w:lang w:val="en-IN" w:eastAsia="en-IN"/>
        </w:rPr>
        <w:t xml:space="preserve"> images across 10 classes. CIFAR-10 is used for training the base model as well as for generating benign and adversarial fine-tuning updates. To evaluate robustness under deployment conditions, additional validation is performed on the STL-10 dataset by resizing inputs to match the CIFAR-10 resolution.</w:t>
      </w:r>
    </w:p>
    <w:p w14:paraId="16EB1629" w14:textId="77777777" w:rsidR="005D1465" w:rsidRDefault="005D1465" w:rsidP="00A55BF4">
      <w:pPr>
        <w:spacing w:before="100" w:beforeAutospacing="1"/>
        <w:jc w:val="both"/>
        <w:rPr>
          <w:rFonts w:eastAsia="Times New Roman"/>
          <w:lang w:val="en-IN" w:eastAsia="en-IN"/>
        </w:rPr>
      </w:pPr>
      <w:r w:rsidRPr="005D1465">
        <w:rPr>
          <w:rFonts w:eastAsia="Times New Roman"/>
          <w:lang w:val="en-IN" w:eastAsia="en-IN"/>
        </w:rPr>
        <w:t>All models are trained using the Adam optimizer with fixed learning rates in the range of 10⁻³ to 10⁻⁴, depending on the training stage. Experiments are executed on a single consumer-grade GPU. No external surveys or human annotations are used; all data is obtained from publicly available benchmark datasets and controlled experimental simulations.</w:t>
      </w:r>
    </w:p>
    <w:p w14:paraId="7B9D4D04" w14:textId="5EC531BD" w:rsidR="003A476D" w:rsidRPr="003A476D" w:rsidRDefault="003A476D" w:rsidP="00A55BF4">
      <w:pPr>
        <w:spacing w:before="100" w:beforeAutospacing="1"/>
        <w:rPr>
          <w:rFonts w:eastAsia="Times New Roman"/>
          <w:sz w:val="16"/>
          <w:szCs w:val="16"/>
          <w:lang w:val="en-IN" w:eastAsia="en-IN"/>
        </w:rPr>
      </w:pPr>
      <w:r w:rsidRPr="003A476D">
        <w:rPr>
          <w:rFonts w:eastAsia="Times New Roman"/>
          <w:sz w:val="16"/>
          <w:szCs w:val="16"/>
          <w:lang w:eastAsia="en-IN"/>
        </w:rPr>
        <w:t>TABLE I</w:t>
      </w:r>
      <w:r w:rsidRPr="003A476D">
        <w:rPr>
          <w:rFonts w:eastAsia="Times New Roman"/>
          <w:sz w:val="16"/>
          <w:szCs w:val="16"/>
          <w:lang w:eastAsia="en-IN"/>
        </w:rPr>
        <w:br/>
        <w:t>DATASET DESCRIPTION</w:t>
      </w:r>
    </w:p>
    <w:tbl>
      <w:tblPr>
        <w:tblW w:w="0" w:type="auto"/>
        <w:jc w:val="center"/>
        <w:tblCellSpacing w:w="15" w:type="dxa"/>
        <w:tblBorders>
          <w:top w:val="single" w:sz="12" w:space="0" w:color="auto"/>
          <w:left w:val="single" w:sz="12" w:space="0" w:color="auto"/>
          <w:bottom w:val="single" w:sz="12" w:space="0" w:color="auto"/>
          <w:right w:val="single" w:sz="12" w:space="0" w:color="auto"/>
        </w:tblBorders>
        <w:tblCellMar>
          <w:top w:w="15" w:type="dxa"/>
          <w:left w:w="15" w:type="dxa"/>
          <w:bottom w:w="15" w:type="dxa"/>
          <w:right w:w="15" w:type="dxa"/>
        </w:tblCellMar>
        <w:tblLook w:val="04A0" w:firstRow="1" w:lastRow="0" w:firstColumn="1" w:lastColumn="0" w:noHBand="0" w:noVBand="1"/>
      </w:tblPr>
      <w:tblGrid>
        <w:gridCol w:w="1970"/>
        <w:gridCol w:w="1439"/>
      </w:tblGrid>
      <w:tr w:rsidR="005D1465" w:rsidRPr="005D1465" w14:paraId="76DBD49F" w14:textId="77777777" w:rsidTr="00182BF3">
        <w:trPr>
          <w:tblHeader/>
          <w:tblCellSpacing w:w="15" w:type="dxa"/>
          <w:jc w:val="center"/>
        </w:trPr>
        <w:tc>
          <w:tcPr>
            <w:tcW w:w="1925" w:type="dxa"/>
            <w:tcBorders>
              <w:top w:val="single" w:sz="12" w:space="0" w:color="auto"/>
              <w:bottom w:val="nil"/>
              <w:right w:val="single" w:sz="12" w:space="0" w:color="auto"/>
            </w:tcBorders>
            <w:vAlign w:val="center"/>
            <w:hideMark/>
          </w:tcPr>
          <w:p w14:paraId="1F878AD8" w14:textId="77777777" w:rsidR="005D1465" w:rsidRPr="005D1465" w:rsidRDefault="005D1465" w:rsidP="00A42786">
            <w:pPr>
              <w:spacing w:before="100" w:beforeAutospacing="1" w:after="100" w:afterAutospacing="1"/>
              <w:rPr>
                <w:rFonts w:eastAsia="Times New Roman"/>
                <w:b/>
                <w:bCs/>
                <w:sz w:val="15"/>
                <w:szCs w:val="15"/>
                <w:lang w:val="en-IN" w:eastAsia="en-IN"/>
              </w:rPr>
            </w:pPr>
            <w:r w:rsidRPr="005D1465">
              <w:rPr>
                <w:rFonts w:eastAsia="Times New Roman"/>
                <w:b/>
                <w:bCs/>
                <w:sz w:val="15"/>
                <w:szCs w:val="15"/>
                <w:lang w:val="en-IN" w:eastAsia="en-IN"/>
              </w:rPr>
              <w:t>Property</w:t>
            </w:r>
          </w:p>
        </w:tc>
        <w:tc>
          <w:tcPr>
            <w:tcW w:w="1394" w:type="dxa"/>
            <w:tcBorders>
              <w:top w:val="single" w:sz="12" w:space="0" w:color="auto"/>
              <w:left w:val="single" w:sz="12" w:space="0" w:color="auto"/>
              <w:bottom w:val="nil"/>
            </w:tcBorders>
            <w:vAlign w:val="center"/>
            <w:hideMark/>
          </w:tcPr>
          <w:p w14:paraId="2DE64B19" w14:textId="77777777" w:rsidR="005D1465" w:rsidRPr="005D1465" w:rsidRDefault="005D1465" w:rsidP="00A42786">
            <w:pPr>
              <w:spacing w:before="100" w:beforeAutospacing="1" w:after="100" w:afterAutospacing="1"/>
              <w:rPr>
                <w:rFonts w:eastAsia="Times New Roman"/>
                <w:b/>
                <w:bCs/>
                <w:sz w:val="15"/>
                <w:szCs w:val="15"/>
                <w:lang w:val="en-IN" w:eastAsia="en-IN"/>
              </w:rPr>
            </w:pPr>
            <w:r w:rsidRPr="005D1465">
              <w:rPr>
                <w:rFonts w:eastAsia="Times New Roman"/>
                <w:b/>
                <w:bCs/>
                <w:sz w:val="15"/>
                <w:szCs w:val="15"/>
                <w:lang w:val="en-IN" w:eastAsia="en-IN"/>
              </w:rPr>
              <w:t>Value</w:t>
            </w:r>
          </w:p>
        </w:tc>
      </w:tr>
      <w:tr w:rsidR="005D1465" w:rsidRPr="005D1465" w14:paraId="5F94CA07" w14:textId="77777777" w:rsidTr="00182BF3">
        <w:trPr>
          <w:tblCellSpacing w:w="15" w:type="dxa"/>
          <w:jc w:val="center"/>
        </w:trPr>
        <w:tc>
          <w:tcPr>
            <w:tcW w:w="1925" w:type="dxa"/>
            <w:tcBorders>
              <w:top w:val="single" w:sz="12" w:space="0" w:color="auto"/>
              <w:bottom w:val="nil"/>
              <w:right w:val="single" w:sz="12" w:space="0" w:color="auto"/>
            </w:tcBorders>
            <w:vAlign w:val="center"/>
            <w:hideMark/>
          </w:tcPr>
          <w:p w14:paraId="6A78D018"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Primary dataset</w:t>
            </w:r>
          </w:p>
        </w:tc>
        <w:tc>
          <w:tcPr>
            <w:tcW w:w="1394" w:type="dxa"/>
            <w:tcBorders>
              <w:top w:val="single" w:sz="12" w:space="0" w:color="auto"/>
              <w:left w:val="single" w:sz="12" w:space="0" w:color="auto"/>
              <w:bottom w:val="nil"/>
            </w:tcBorders>
            <w:vAlign w:val="center"/>
            <w:hideMark/>
          </w:tcPr>
          <w:p w14:paraId="37D41E22"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CIFAR-10</w:t>
            </w:r>
          </w:p>
        </w:tc>
      </w:tr>
      <w:tr w:rsidR="005D1465" w:rsidRPr="005D1465" w14:paraId="0A07863D" w14:textId="77777777" w:rsidTr="00182BF3">
        <w:trPr>
          <w:tblCellSpacing w:w="15" w:type="dxa"/>
          <w:jc w:val="center"/>
        </w:trPr>
        <w:tc>
          <w:tcPr>
            <w:tcW w:w="1925" w:type="dxa"/>
            <w:tcBorders>
              <w:top w:val="nil"/>
              <w:bottom w:val="nil"/>
              <w:right w:val="single" w:sz="12" w:space="0" w:color="auto"/>
            </w:tcBorders>
            <w:vAlign w:val="center"/>
            <w:hideMark/>
          </w:tcPr>
          <w:p w14:paraId="6A1759EA"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Deployment dataset</w:t>
            </w:r>
          </w:p>
        </w:tc>
        <w:tc>
          <w:tcPr>
            <w:tcW w:w="1394" w:type="dxa"/>
            <w:tcBorders>
              <w:top w:val="nil"/>
              <w:left w:val="single" w:sz="12" w:space="0" w:color="auto"/>
              <w:bottom w:val="nil"/>
            </w:tcBorders>
            <w:vAlign w:val="center"/>
            <w:hideMark/>
          </w:tcPr>
          <w:p w14:paraId="1CE14B03"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STL-10</w:t>
            </w:r>
          </w:p>
        </w:tc>
      </w:tr>
      <w:tr w:rsidR="005D1465" w:rsidRPr="005D1465" w14:paraId="702717D6" w14:textId="77777777" w:rsidTr="00182BF3">
        <w:trPr>
          <w:tblCellSpacing w:w="15" w:type="dxa"/>
          <w:jc w:val="center"/>
        </w:trPr>
        <w:tc>
          <w:tcPr>
            <w:tcW w:w="1925" w:type="dxa"/>
            <w:tcBorders>
              <w:top w:val="nil"/>
              <w:bottom w:val="nil"/>
              <w:right w:val="single" w:sz="12" w:space="0" w:color="auto"/>
            </w:tcBorders>
            <w:vAlign w:val="center"/>
            <w:hideMark/>
          </w:tcPr>
          <w:p w14:paraId="5DB584F6"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Number of classes</w:t>
            </w:r>
          </w:p>
        </w:tc>
        <w:tc>
          <w:tcPr>
            <w:tcW w:w="1394" w:type="dxa"/>
            <w:tcBorders>
              <w:top w:val="nil"/>
              <w:left w:val="single" w:sz="12" w:space="0" w:color="auto"/>
              <w:bottom w:val="nil"/>
            </w:tcBorders>
            <w:vAlign w:val="center"/>
            <w:hideMark/>
          </w:tcPr>
          <w:p w14:paraId="17BAB10E"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10</w:t>
            </w:r>
          </w:p>
        </w:tc>
      </w:tr>
      <w:tr w:rsidR="005D1465" w:rsidRPr="005D1465" w14:paraId="18C0E69F" w14:textId="77777777" w:rsidTr="00182BF3">
        <w:trPr>
          <w:tblCellSpacing w:w="15" w:type="dxa"/>
          <w:jc w:val="center"/>
        </w:trPr>
        <w:tc>
          <w:tcPr>
            <w:tcW w:w="1925" w:type="dxa"/>
            <w:tcBorders>
              <w:top w:val="nil"/>
              <w:bottom w:val="nil"/>
              <w:right w:val="single" w:sz="12" w:space="0" w:color="auto"/>
            </w:tcBorders>
            <w:vAlign w:val="center"/>
            <w:hideMark/>
          </w:tcPr>
          <w:p w14:paraId="26CA5DF6"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Training samples</w:t>
            </w:r>
          </w:p>
        </w:tc>
        <w:tc>
          <w:tcPr>
            <w:tcW w:w="1394" w:type="dxa"/>
            <w:tcBorders>
              <w:top w:val="nil"/>
              <w:left w:val="single" w:sz="12" w:space="0" w:color="auto"/>
              <w:bottom w:val="nil"/>
            </w:tcBorders>
            <w:vAlign w:val="center"/>
            <w:hideMark/>
          </w:tcPr>
          <w:p w14:paraId="3C836B87"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50,000</w:t>
            </w:r>
          </w:p>
        </w:tc>
      </w:tr>
      <w:tr w:rsidR="005D1465" w:rsidRPr="005D1465" w14:paraId="63FD1B1F" w14:textId="77777777" w:rsidTr="00182BF3">
        <w:trPr>
          <w:tblCellSpacing w:w="15" w:type="dxa"/>
          <w:jc w:val="center"/>
        </w:trPr>
        <w:tc>
          <w:tcPr>
            <w:tcW w:w="1925" w:type="dxa"/>
            <w:tcBorders>
              <w:top w:val="nil"/>
              <w:bottom w:val="nil"/>
              <w:right w:val="single" w:sz="12" w:space="0" w:color="auto"/>
            </w:tcBorders>
            <w:vAlign w:val="center"/>
            <w:hideMark/>
          </w:tcPr>
          <w:p w14:paraId="3B5C2DAA"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Test samples</w:t>
            </w:r>
          </w:p>
        </w:tc>
        <w:tc>
          <w:tcPr>
            <w:tcW w:w="1394" w:type="dxa"/>
            <w:tcBorders>
              <w:top w:val="nil"/>
              <w:left w:val="single" w:sz="12" w:space="0" w:color="auto"/>
              <w:bottom w:val="nil"/>
            </w:tcBorders>
            <w:vAlign w:val="center"/>
            <w:hideMark/>
          </w:tcPr>
          <w:p w14:paraId="5A50ACAC"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10,000</w:t>
            </w:r>
          </w:p>
        </w:tc>
      </w:tr>
      <w:tr w:rsidR="005D1465" w:rsidRPr="005D1465" w14:paraId="0FE39DFB" w14:textId="77777777" w:rsidTr="00182BF3">
        <w:trPr>
          <w:tblCellSpacing w:w="15" w:type="dxa"/>
          <w:jc w:val="center"/>
        </w:trPr>
        <w:tc>
          <w:tcPr>
            <w:tcW w:w="1925" w:type="dxa"/>
            <w:tcBorders>
              <w:top w:val="nil"/>
              <w:bottom w:val="nil"/>
              <w:right w:val="single" w:sz="12" w:space="0" w:color="auto"/>
            </w:tcBorders>
            <w:vAlign w:val="center"/>
            <w:hideMark/>
          </w:tcPr>
          <w:p w14:paraId="00066FE6"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Input resolution</w:t>
            </w:r>
          </w:p>
        </w:tc>
        <w:tc>
          <w:tcPr>
            <w:tcW w:w="1394" w:type="dxa"/>
            <w:tcBorders>
              <w:top w:val="nil"/>
              <w:left w:val="single" w:sz="12" w:space="0" w:color="auto"/>
              <w:bottom w:val="nil"/>
            </w:tcBorders>
            <w:vAlign w:val="center"/>
            <w:hideMark/>
          </w:tcPr>
          <w:p w14:paraId="11FF72CB"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32 × 32</w:t>
            </w:r>
          </w:p>
        </w:tc>
      </w:tr>
      <w:tr w:rsidR="005D1465" w:rsidRPr="005D1465" w14:paraId="42021C6F" w14:textId="77777777" w:rsidTr="00182BF3">
        <w:trPr>
          <w:tblCellSpacing w:w="15" w:type="dxa"/>
          <w:jc w:val="center"/>
        </w:trPr>
        <w:tc>
          <w:tcPr>
            <w:tcW w:w="1925" w:type="dxa"/>
            <w:tcBorders>
              <w:top w:val="nil"/>
              <w:bottom w:val="single" w:sz="12" w:space="0" w:color="auto"/>
              <w:right w:val="single" w:sz="12" w:space="0" w:color="auto"/>
            </w:tcBorders>
            <w:vAlign w:val="center"/>
            <w:hideMark/>
          </w:tcPr>
          <w:p w14:paraId="2A306B37"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Task</w:t>
            </w:r>
          </w:p>
        </w:tc>
        <w:tc>
          <w:tcPr>
            <w:tcW w:w="1394" w:type="dxa"/>
            <w:tcBorders>
              <w:top w:val="nil"/>
              <w:left w:val="single" w:sz="12" w:space="0" w:color="auto"/>
              <w:bottom w:val="single" w:sz="12" w:space="0" w:color="auto"/>
            </w:tcBorders>
            <w:vAlign w:val="center"/>
            <w:hideMark/>
          </w:tcPr>
          <w:p w14:paraId="1E8DD3C6" w14:textId="77777777" w:rsidR="005D1465" w:rsidRPr="005D1465" w:rsidRDefault="005D1465" w:rsidP="00A42786">
            <w:pPr>
              <w:spacing w:before="100" w:beforeAutospacing="1" w:after="100" w:afterAutospacing="1"/>
              <w:rPr>
                <w:rFonts w:eastAsia="Times New Roman"/>
                <w:sz w:val="16"/>
                <w:szCs w:val="16"/>
                <w:lang w:val="en-IN" w:eastAsia="en-IN"/>
              </w:rPr>
            </w:pPr>
            <w:r w:rsidRPr="005D1465">
              <w:rPr>
                <w:rFonts w:eastAsia="Times New Roman"/>
                <w:sz w:val="16"/>
                <w:szCs w:val="16"/>
                <w:lang w:val="en-IN" w:eastAsia="en-IN"/>
              </w:rPr>
              <w:t>Image classification</w:t>
            </w:r>
          </w:p>
        </w:tc>
      </w:tr>
    </w:tbl>
    <w:p w14:paraId="51584A64" w14:textId="77777777" w:rsidR="003A476D" w:rsidRDefault="003A476D" w:rsidP="003A476D">
      <w:pPr>
        <w:keepNext/>
        <w:spacing w:before="100" w:beforeAutospacing="1" w:after="100" w:afterAutospacing="1"/>
      </w:pPr>
      <w:r w:rsidRPr="003A476D">
        <w:rPr>
          <w:rFonts w:eastAsia="Times New Roman"/>
          <w:noProof/>
          <w:lang w:val="en-IN" w:eastAsia="en-IN"/>
        </w:rPr>
        <w:drawing>
          <wp:inline distT="0" distB="0" distL="0" distR="0" wp14:anchorId="6790142E" wp14:editId="4E034810">
            <wp:extent cx="1667866" cy="1734317"/>
            <wp:effectExtent l="0" t="0" r="8890" b="0"/>
            <wp:docPr id="200516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68241" name=""/>
                    <pic:cNvPicPr/>
                  </pic:nvPicPr>
                  <pic:blipFill>
                    <a:blip r:embed="rId10"/>
                    <a:stretch>
                      <a:fillRect/>
                    </a:stretch>
                  </pic:blipFill>
                  <pic:spPr>
                    <a:xfrm>
                      <a:off x="0" y="0"/>
                      <a:ext cx="1697409" cy="1765037"/>
                    </a:xfrm>
                    <a:prstGeom prst="rect">
                      <a:avLst/>
                    </a:prstGeom>
                  </pic:spPr>
                </pic:pic>
              </a:graphicData>
            </a:graphic>
          </wp:inline>
        </w:drawing>
      </w:r>
    </w:p>
    <w:p w14:paraId="2DDCCC51" w14:textId="43753F13" w:rsidR="005D1465" w:rsidRPr="005D1465" w:rsidRDefault="003A476D" w:rsidP="00834110">
      <w:pPr>
        <w:pStyle w:val="Caption"/>
        <w:rPr>
          <w:rFonts w:eastAsia="Times New Roman"/>
          <w:color w:val="000000" w:themeColor="text1"/>
          <w:sz w:val="16"/>
          <w:szCs w:val="16"/>
          <w:lang w:val="en-IN" w:eastAsia="en-IN"/>
        </w:rPr>
      </w:pPr>
      <w:r w:rsidRPr="00182BF3">
        <w:rPr>
          <w:color w:val="000000" w:themeColor="text1"/>
          <w:sz w:val="16"/>
          <w:szCs w:val="16"/>
        </w:rPr>
        <w:t xml:space="preserve">Fig </w:t>
      </w:r>
      <w:r w:rsidRPr="00182BF3">
        <w:rPr>
          <w:color w:val="000000" w:themeColor="text1"/>
          <w:sz w:val="16"/>
          <w:szCs w:val="16"/>
        </w:rPr>
        <w:fldChar w:fldCharType="begin"/>
      </w:r>
      <w:r w:rsidRPr="00182BF3">
        <w:rPr>
          <w:color w:val="000000" w:themeColor="text1"/>
          <w:sz w:val="16"/>
          <w:szCs w:val="16"/>
        </w:rPr>
        <w:instrText xml:space="preserve"> SEQ Figure \* ARABIC </w:instrText>
      </w:r>
      <w:r w:rsidRPr="00182BF3">
        <w:rPr>
          <w:color w:val="000000" w:themeColor="text1"/>
          <w:sz w:val="16"/>
          <w:szCs w:val="16"/>
        </w:rPr>
        <w:fldChar w:fldCharType="separate"/>
      </w:r>
      <w:r w:rsidR="00825C5A">
        <w:rPr>
          <w:noProof/>
          <w:color w:val="000000" w:themeColor="text1"/>
          <w:sz w:val="16"/>
          <w:szCs w:val="16"/>
        </w:rPr>
        <w:t>2</w:t>
      </w:r>
      <w:r w:rsidRPr="00182BF3">
        <w:rPr>
          <w:color w:val="000000" w:themeColor="text1"/>
          <w:sz w:val="16"/>
          <w:szCs w:val="16"/>
        </w:rPr>
        <w:fldChar w:fldCharType="end"/>
      </w:r>
      <w:r w:rsidRPr="00182BF3">
        <w:rPr>
          <w:color w:val="000000" w:themeColor="text1"/>
          <w:sz w:val="16"/>
          <w:szCs w:val="16"/>
        </w:rPr>
        <w:t>.</w:t>
      </w:r>
      <w:r w:rsidR="00A73A6C">
        <w:rPr>
          <w:color w:val="000000" w:themeColor="text1"/>
          <w:sz w:val="16"/>
          <w:szCs w:val="16"/>
        </w:rPr>
        <w:t xml:space="preserve"> </w:t>
      </w:r>
      <w:r w:rsidRPr="00182BF3">
        <w:rPr>
          <w:color w:val="000000" w:themeColor="text1"/>
          <w:sz w:val="16"/>
          <w:szCs w:val="16"/>
        </w:rPr>
        <w:t>Effect of attack strength on Update Instability Score</w:t>
      </w:r>
    </w:p>
    <w:p w14:paraId="35CA2131" w14:textId="3B884929" w:rsidR="005D1465" w:rsidRPr="005D1465" w:rsidRDefault="005D1465" w:rsidP="005D1465">
      <w:pPr>
        <w:spacing w:before="100" w:beforeAutospacing="1" w:after="100" w:afterAutospacing="1"/>
        <w:jc w:val="left"/>
        <w:rPr>
          <w:rFonts w:eastAsia="Times New Roman"/>
          <w:b/>
          <w:bCs/>
          <w:lang w:val="en-IN" w:eastAsia="en-IN"/>
        </w:rPr>
      </w:pPr>
      <w:r w:rsidRPr="005D1465">
        <w:rPr>
          <w:rFonts w:eastAsia="Times New Roman"/>
          <w:b/>
          <w:bCs/>
          <w:lang w:val="en-IN" w:eastAsia="en-IN"/>
        </w:rPr>
        <w:t>B. Workflow</w:t>
      </w:r>
    </w:p>
    <w:p w14:paraId="050044B2" w14:textId="13075857" w:rsidR="005D1465" w:rsidRPr="005D1465" w:rsidRDefault="005D1465" w:rsidP="00A918F2">
      <w:pPr>
        <w:spacing w:before="100" w:beforeAutospacing="1" w:after="100" w:afterAutospacing="1"/>
        <w:jc w:val="both"/>
        <w:rPr>
          <w:rFonts w:eastAsia="Times New Roman"/>
          <w:lang w:val="en-IN" w:eastAsia="en-IN"/>
        </w:rPr>
      </w:pPr>
      <w:r w:rsidRPr="005D1465">
        <w:rPr>
          <w:rFonts w:eastAsia="Times New Roman"/>
          <w:lang w:val="en-IN" w:eastAsia="en-IN"/>
        </w:rPr>
        <w:t xml:space="preserve">The overall workflow consists of three stages. First, a trusted base model is trained using standard supervised learning. Second, model updates are generated through either benign fine-tuning or adversarial model update poisoning, where malicious objectives are injected during post-training optimization. Third, each update is evaluated prior to </w:t>
      </w:r>
      <w:r w:rsidRPr="005D1465">
        <w:rPr>
          <w:rFonts w:eastAsia="Times New Roman"/>
          <w:lang w:val="en-IN" w:eastAsia="en-IN"/>
        </w:rPr>
        <w:lastRenderedPageBreak/>
        <w:t>deployment using the proposed Update Instability Score (UIS), enabling detection of unstable and potentially malicious updates.</w:t>
      </w:r>
      <w:r w:rsidR="00A918F2">
        <w:rPr>
          <w:rFonts w:eastAsia="Times New Roman"/>
          <w:lang w:val="en-IN" w:eastAsia="en-IN"/>
        </w:rPr>
        <w:t xml:space="preserve"> </w:t>
      </w:r>
      <w:r w:rsidRPr="005D1465">
        <w:rPr>
          <w:rFonts w:eastAsia="Times New Roman"/>
          <w:lang w:val="en-IN" w:eastAsia="en-IN"/>
        </w:rPr>
        <w:t>Additional analyses include attack-strength ablation, perturbation-magnitude ablation, ensemble-level validation, and dataset-shift evaluation. All results are aggregated across multiple random seeds to ensure statistical reliability.</w:t>
      </w:r>
    </w:p>
    <w:p w14:paraId="24029863" w14:textId="77777777" w:rsidR="003A476D" w:rsidRDefault="005D1465" w:rsidP="003A476D">
      <w:pPr>
        <w:spacing w:before="100" w:beforeAutospacing="1" w:after="100" w:afterAutospacing="1"/>
        <w:jc w:val="left"/>
        <w:rPr>
          <w:rFonts w:eastAsia="Times New Roman"/>
          <w:b/>
          <w:bCs/>
          <w:lang w:eastAsia="en-IN"/>
        </w:rPr>
      </w:pPr>
      <w:r w:rsidRPr="005D1465">
        <w:rPr>
          <w:rFonts w:eastAsia="Times New Roman"/>
          <w:b/>
          <w:bCs/>
          <w:lang w:val="en-IN" w:eastAsia="en-IN"/>
        </w:rPr>
        <w:t xml:space="preserve">C. </w:t>
      </w:r>
      <w:r w:rsidR="003A476D" w:rsidRPr="003A476D">
        <w:rPr>
          <w:rFonts w:eastAsia="Times New Roman"/>
          <w:b/>
          <w:bCs/>
          <w:lang w:eastAsia="en-IN"/>
        </w:rPr>
        <w:t>Training and Optimization Configuration</w:t>
      </w:r>
    </w:p>
    <w:p w14:paraId="0C83EA57" w14:textId="1B1DDCCE" w:rsidR="00A55BF4" w:rsidRPr="003A476D" w:rsidRDefault="003A476D" w:rsidP="003A476D">
      <w:pPr>
        <w:spacing w:before="100" w:beforeAutospacing="1" w:after="100" w:afterAutospacing="1"/>
        <w:jc w:val="both"/>
        <w:rPr>
          <w:rFonts w:eastAsia="Times New Roman"/>
          <w:lang w:val="en-IN" w:eastAsia="en-IN"/>
        </w:rPr>
      </w:pPr>
      <w:r w:rsidRPr="003A476D">
        <w:rPr>
          <w:rFonts w:eastAsia="Times New Roman"/>
          <w:lang w:val="en-IN" w:eastAsia="en-IN"/>
        </w:rPr>
        <w:t>All models are trained using standard supervised learning and fine-tuning procedures. A trusted base model is first trained on CIFAR-10, followed by either benign fine-tuning or adversarial model update poisoning. Optimization settings are kept consistent across experiments to ensure fair comparison between benign and malicious updates.</w:t>
      </w:r>
    </w:p>
    <w:p w14:paraId="565BBFCB" w14:textId="1760965E" w:rsidR="00182BF3" w:rsidRPr="003A476D" w:rsidRDefault="00182BF3" w:rsidP="00182BF3">
      <w:pPr>
        <w:spacing w:before="100" w:beforeAutospacing="1" w:after="100" w:afterAutospacing="1"/>
        <w:rPr>
          <w:rFonts w:eastAsia="Times New Roman"/>
          <w:sz w:val="16"/>
          <w:szCs w:val="16"/>
          <w:lang w:val="en-IN" w:eastAsia="en-IN"/>
        </w:rPr>
      </w:pPr>
      <w:r w:rsidRPr="003A476D">
        <w:rPr>
          <w:rFonts w:eastAsia="Times New Roman"/>
          <w:sz w:val="16"/>
          <w:szCs w:val="16"/>
          <w:lang w:eastAsia="en-IN"/>
        </w:rPr>
        <w:t>TABLE I</w:t>
      </w:r>
      <w:r>
        <w:rPr>
          <w:rFonts w:eastAsia="Times New Roman"/>
          <w:sz w:val="16"/>
          <w:szCs w:val="16"/>
          <w:lang w:eastAsia="en-IN"/>
        </w:rPr>
        <w:t>I</w:t>
      </w:r>
      <w:r w:rsidRPr="003A476D">
        <w:rPr>
          <w:rFonts w:eastAsia="Times New Roman"/>
          <w:sz w:val="16"/>
          <w:szCs w:val="16"/>
          <w:lang w:eastAsia="en-IN"/>
        </w:rPr>
        <w:br/>
      </w:r>
      <w:r w:rsidRPr="00182BF3">
        <w:rPr>
          <w:rFonts w:eastAsia="Times New Roman"/>
          <w:sz w:val="16"/>
          <w:szCs w:val="16"/>
          <w:lang w:eastAsia="en-IN"/>
        </w:rPr>
        <w:t>TRAINING AND OPTIMIZATION CONFIGURATION</w:t>
      </w:r>
    </w:p>
    <w:tbl>
      <w:tblPr>
        <w:tblW w:w="4344" w:type="dxa"/>
        <w:tblCellSpacing w:w="15" w:type="dxa"/>
        <w:tblBorders>
          <w:top w:val="single" w:sz="12" w:space="0" w:color="auto"/>
          <w:left w:val="single" w:sz="12" w:space="0" w:color="auto"/>
          <w:bottom w:val="single" w:sz="12" w:space="0" w:color="auto"/>
          <w:right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413"/>
        <w:gridCol w:w="1931"/>
      </w:tblGrid>
      <w:tr w:rsidR="00182BF3" w:rsidRPr="00182BF3" w14:paraId="51CC48EC" w14:textId="77777777" w:rsidTr="00A55BF4">
        <w:trPr>
          <w:trHeight w:val="52"/>
          <w:tblHeader/>
          <w:tblCellSpacing w:w="15" w:type="dxa"/>
        </w:trPr>
        <w:tc>
          <w:tcPr>
            <w:tcW w:w="0" w:type="auto"/>
            <w:tcBorders>
              <w:top w:val="single" w:sz="12" w:space="0" w:color="auto"/>
              <w:bottom w:val="single" w:sz="12" w:space="0" w:color="auto"/>
            </w:tcBorders>
            <w:vAlign w:val="center"/>
            <w:hideMark/>
          </w:tcPr>
          <w:p w14:paraId="72E40ADC" w14:textId="77777777" w:rsidR="00182BF3" w:rsidRPr="00182BF3" w:rsidRDefault="00182BF3" w:rsidP="00CA671D">
            <w:pPr>
              <w:spacing w:before="100" w:beforeAutospacing="1" w:after="100" w:afterAutospacing="1"/>
              <w:rPr>
                <w:rFonts w:eastAsia="Times New Roman"/>
                <w:b/>
                <w:bCs/>
                <w:lang w:val="en-IN" w:eastAsia="en-IN"/>
              </w:rPr>
            </w:pPr>
            <w:r w:rsidRPr="00182BF3">
              <w:rPr>
                <w:rFonts w:eastAsia="Times New Roman"/>
                <w:b/>
                <w:bCs/>
                <w:lang w:val="en-IN" w:eastAsia="en-IN"/>
              </w:rPr>
              <w:t>Parameter</w:t>
            </w:r>
          </w:p>
        </w:tc>
        <w:tc>
          <w:tcPr>
            <w:tcW w:w="0" w:type="auto"/>
            <w:tcBorders>
              <w:top w:val="single" w:sz="12" w:space="0" w:color="auto"/>
              <w:bottom w:val="single" w:sz="12" w:space="0" w:color="auto"/>
            </w:tcBorders>
            <w:vAlign w:val="center"/>
            <w:hideMark/>
          </w:tcPr>
          <w:p w14:paraId="31818B5D" w14:textId="77777777" w:rsidR="00182BF3" w:rsidRPr="00182BF3" w:rsidRDefault="00182BF3" w:rsidP="00CA671D">
            <w:pPr>
              <w:spacing w:before="100" w:beforeAutospacing="1" w:after="100" w:afterAutospacing="1"/>
              <w:rPr>
                <w:rFonts w:eastAsia="Times New Roman"/>
                <w:b/>
                <w:bCs/>
                <w:lang w:val="en-IN" w:eastAsia="en-IN"/>
              </w:rPr>
            </w:pPr>
            <w:r w:rsidRPr="00182BF3">
              <w:rPr>
                <w:rFonts w:eastAsia="Times New Roman"/>
                <w:b/>
                <w:bCs/>
                <w:lang w:val="en-IN" w:eastAsia="en-IN"/>
              </w:rPr>
              <w:t>Value</w:t>
            </w:r>
          </w:p>
        </w:tc>
      </w:tr>
      <w:tr w:rsidR="00182BF3" w:rsidRPr="00182BF3" w14:paraId="70F8E789" w14:textId="77777777" w:rsidTr="00A55BF4">
        <w:trPr>
          <w:trHeight w:val="49"/>
          <w:tblCellSpacing w:w="15" w:type="dxa"/>
        </w:trPr>
        <w:tc>
          <w:tcPr>
            <w:tcW w:w="0" w:type="auto"/>
            <w:vAlign w:val="center"/>
            <w:hideMark/>
          </w:tcPr>
          <w:p w14:paraId="25167348"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Optimizer</w:t>
            </w:r>
          </w:p>
        </w:tc>
        <w:tc>
          <w:tcPr>
            <w:tcW w:w="0" w:type="auto"/>
            <w:vAlign w:val="center"/>
            <w:hideMark/>
          </w:tcPr>
          <w:p w14:paraId="69515A0F"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Adam</w:t>
            </w:r>
          </w:p>
        </w:tc>
      </w:tr>
      <w:tr w:rsidR="00182BF3" w:rsidRPr="00182BF3" w14:paraId="4B3E005C" w14:textId="77777777" w:rsidTr="00A55BF4">
        <w:trPr>
          <w:trHeight w:val="52"/>
          <w:tblCellSpacing w:w="15" w:type="dxa"/>
        </w:trPr>
        <w:tc>
          <w:tcPr>
            <w:tcW w:w="0" w:type="auto"/>
            <w:vAlign w:val="center"/>
            <w:hideMark/>
          </w:tcPr>
          <w:p w14:paraId="17D756CD"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Base model learning rate</w:t>
            </w:r>
          </w:p>
        </w:tc>
        <w:tc>
          <w:tcPr>
            <w:tcW w:w="0" w:type="auto"/>
            <w:vAlign w:val="center"/>
            <w:hideMark/>
          </w:tcPr>
          <w:p w14:paraId="3B29BCD5"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1e-3</w:t>
            </w:r>
          </w:p>
        </w:tc>
      </w:tr>
      <w:tr w:rsidR="00182BF3" w:rsidRPr="00182BF3" w14:paraId="36ECD413" w14:textId="77777777" w:rsidTr="00A55BF4">
        <w:trPr>
          <w:trHeight w:val="49"/>
          <w:tblCellSpacing w:w="15" w:type="dxa"/>
        </w:trPr>
        <w:tc>
          <w:tcPr>
            <w:tcW w:w="0" w:type="auto"/>
            <w:vAlign w:val="center"/>
            <w:hideMark/>
          </w:tcPr>
          <w:p w14:paraId="24A0A01E"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Fine-tuning learning rate</w:t>
            </w:r>
          </w:p>
        </w:tc>
        <w:tc>
          <w:tcPr>
            <w:tcW w:w="0" w:type="auto"/>
            <w:vAlign w:val="center"/>
            <w:hideMark/>
          </w:tcPr>
          <w:p w14:paraId="412B5872"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1e-4</w:t>
            </w:r>
          </w:p>
        </w:tc>
      </w:tr>
      <w:tr w:rsidR="00182BF3" w:rsidRPr="00182BF3" w14:paraId="57BB53F6" w14:textId="77777777" w:rsidTr="00A55BF4">
        <w:trPr>
          <w:trHeight w:val="49"/>
          <w:tblCellSpacing w:w="15" w:type="dxa"/>
        </w:trPr>
        <w:tc>
          <w:tcPr>
            <w:tcW w:w="0" w:type="auto"/>
            <w:vAlign w:val="center"/>
            <w:hideMark/>
          </w:tcPr>
          <w:p w14:paraId="36909B65"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Batch size</w:t>
            </w:r>
          </w:p>
        </w:tc>
        <w:tc>
          <w:tcPr>
            <w:tcW w:w="0" w:type="auto"/>
            <w:vAlign w:val="center"/>
            <w:hideMark/>
          </w:tcPr>
          <w:p w14:paraId="64A637E6"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128</w:t>
            </w:r>
          </w:p>
        </w:tc>
      </w:tr>
      <w:tr w:rsidR="00182BF3" w:rsidRPr="00182BF3" w14:paraId="60DF460D" w14:textId="77777777" w:rsidTr="00A55BF4">
        <w:trPr>
          <w:trHeight w:val="49"/>
          <w:tblCellSpacing w:w="15" w:type="dxa"/>
        </w:trPr>
        <w:tc>
          <w:tcPr>
            <w:tcW w:w="0" w:type="auto"/>
            <w:vAlign w:val="center"/>
            <w:hideMark/>
          </w:tcPr>
          <w:p w14:paraId="4890E34D"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Base training epochs</w:t>
            </w:r>
          </w:p>
        </w:tc>
        <w:tc>
          <w:tcPr>
            <w:tcW w:w="0" w:type="auto"/>
            <w:vAlign w:val="center"/>
            <w:hideMark/>
          </w:tcPr>
          <w:p w14:paraId="796CE021"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As per convergence</w:t>
            </w:r>
          </w:p>
        </w:tc>
      </w:tr>
      <w:tr w:rsidR="00182BF3" w:rsidRPr="00182BF3" w14:paraId="151EC79A" w14:textId="77777777" w:rsidTr="00A55BF4">
        <w:trPr>
          <w:trHeight w:val="49"/>
          <w:tblCellSpacing w:w="15" w:type="dxa"/>
        </w:trPr>
        <w:tc>
          <w:tcPr>
            <w:tcW w:w="0" w:type="auto"/>
            <w:vAlign w:val="center"/>
            <w:hideMark/>
          </w:tcPr>
          <w:p w14:paraId="708F487F"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Fine-tuning epochs</w:t>
            </w:r>
          </w:p>
        </w:tc>
        <w:tc>
          <w:tcPr>
            <w:tcW w:w="0" w:type="auto"/>
            <w:vAlign w:val="center"/>
            <w:hideMark/>
          </w:tcPr>
          <w:p w14:paraId="43DD1FEE"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3–5</w:t>
            </w:r>
          </w:p>
        </w:tc>
      </w:tr>
      <w:tr w:rsidR="00182BF3" w:rsidRPr="00182BF3" w14:paraId="392388EA" w14:textId="77777777" w:rsidTr="00A55BF4">
        <w:trPr>
          <w:trHeight w:val="49"/>
          <w:tblCellSpacing w:w="15" w:type="dxa"/>
        </w:trPr>
        <w:tc>
          <w:tcPr>
            <w:tcW w:w="0" w:type="auto"/>
            <w:vAlign w:val="center"/>
            <w:hideMark/>
          </w:tcPr>
          <w:p w14:paraId="58DC2620"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Loss function</w:t>
            </w:r>
          </w:p>
        </w:tc>
        <w:tc>
          <w:tcPr>
            <w:tcW w:w="0" w:type="auto"/>
            <w:vAlign w:val="center"/>
            <w:hideMark/>
          </w:tcPr>
          <w:p w14:paraId="10AF88E6"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Cross-entropy</w:t>
            </w:r>
          </w:p>
        </w:tc>
      </w:tr>
      <w:tr w:rsidR="00182BF3" w:rsidRPr="00182BF3" w14:paraId="11170F63" w14:textId="77777777" w:rsidTr="00A55BF4">
        <w:trPr>
          <w:trHeight w:val="52"/>
          <w:tblCellSpacing w:w="15" w:type="dxa"/>
        </w:trPr>
        <w:tc>
          <w:tcPr>
            <w:tcW w:w="0" w:type="auto"/>
            <w:vAlign w:val="center"/>
            <w:hideMark/>
          </w:tcPr>
          <w:p w14:paraId="23485D0A"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Attack strength parameter (λ)</w:t>
            </w:r>
          </w:p>
        </w:tc>
        <w:tc>
          <w:tcPr>
            <w:tcW w:w="0" w:type="auto"/>
            <w:vAlign w:val="center"/>
            <w:hideMark/>
          </w:tcPr>
          <w:p w14:paraId="2A260EEB" w14:textId="387E431C" w:rsidR="00182BF3" w:rsidRPr="00182BF3" w:rsidRDefault="007B1183" w:rsidP="00CA671D">
            <w:pPr>
              <w:spacing w:before="100" w:beforeAutospacing="1" w:after="100" w:afterAutospacing="1"/>
              <w:rPr>
                <w:rFonts w:eastAsia="Times New Roman"/>
                <w:sz w:val="16"/>
                <w:szCs w:val="16"/>
                <w:lang w:val="en-IN" w:eastAsia="en-IN"/>
              </w:rPr>
            </w:pPr>
            <w:r w:rsidRPr="00CA671D">
              <w:rPr>
                <w:rFonts w:eastAsia="Times New Roman"/>
                <w:sz w:val="16"/>
                <w:szCs w:val="16"/>
                <w:lang w:val="en-IN" w:eastAsia="en-IN"/>
              </w:rPr>
              <w:t>Varied (</w:t>
            </w:r>
            <w:r w:rsidR="00182BF3" w:rsidRPr="00182BF3">
              <w:rPr>
                <w:rFonts w:eastAsia="Times New Roman"/>
                <w:sz w:val="16"/>
                <w:szCs w:val="16"/>
                <w:lang w:val="en-IN" w:eastAsia="en-IN"/>
              </w:rPr>
              <w:t>ablation study)</w:t>
            </w:r>
          </w:p>
        </w:tc>
      </w:tr>
      <w:tr w:rsidR="00182BF3" w:rsidRPr="00182BF3" w14:paraId="02F98F2E" w14:textId="77777777" w:rsidTr="00A55BF4">
        <w:trPr>
          <w:trHeight w:val="49"/>
          <w:tblCellSpacing w:w="15" w:type="dxa"/>
        </w:trPr>
        <w:tc>
          <w:tcPr>
            <w:tcW w:w="0" w:type="auto"/>
            <w:vAlign w:val="center"/>
            <w:hideMark/>
          </w:tcPr>
          <w:p w14:paraId="3CB5FD6A"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Perturbation magnitude (ε)</w:t>
            </w:r>
          </w:p>
        </w:tc>
        <w:tc>
          <w:tcPr>
            <w:tcW w:w="0" w:type="auto"/>
            <w:vAlign w:val="center"/>
            <w:hideMark/>
          </w:tcPr>
          <w:p w14:paraId="2CC7AB0B"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Small Gaussian noise</w:t>
            </w:r>
          </w:p>
        </w:tc>
      </w:tr>
      <w:tr w:rsidR="00182BF3" w:rsidRPr="00182BF3" w14:paraId="2A392268" w14:textId="77777777" w:rsidTr="00A55BF4">
        <w:trPr>
          <w:trHeight w:val="49"/>
          <w:tblCellSpacing w:w="15" w:type="dxa"/>
        </w:trPr>
        <w:tc>
          <w:tcPr>
            <w:tcW w:w="0" w:type="auto"/>
            <w:vAlign w:val="center"/>
            <w:hideMark/>
          </w:tcPr>
          <w:p w14:paraId="3AF68472"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Hardware</w:t>
            </w:r>
          </w:p>
        </w:tc>
        <w:tc>
          <w:tcPr>
            <w:tcW w:w="0" w:type="auto"/>
            <w:vAlign w:val="center"/>
            <w:hideMark/>
          </w:tcPr>
          <w:p w14:paraId="1E43CDC1"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Single GPU</w:t>
            </w:r>
          </w:p>
        </w:tc>
      </w:tr>
      <w:tr w:rsidR="00182BF3" w:rsidRPr="00182BF3" w14:paraId="4D02B91C" w14:textId="77777777" w:rsidTr="00A55BF4">
        <w:trPr>
          <w:trHeight w:val="52"/>
          <w:tblCellSpacing w:w="15" w:type="dxa"/>
        </w:trPr>
        <w:tc>
          <w:tcPr>
            <w:tcW w:w="0" w:type="auto"/>
            <w:vAlign w:val="center"/>
            <w:hideMark/>
          </w:tcPr>
          <w:p w14:paraId="6CE9B995" w14:textId="77777777" w:rsidR="00182BF3" w:rsidRPr="00182BF3" w:rsidRDefault="00182BF3" w:rsidP="00CA671D">
            <w:pPr>
              <w:spacing w:before="100" w:beforeAutospacing="1" w:after="100" w:afterAutospacing="1"/>
              <w:rPr>
                <w:rFonts w:eastAsia="Times New Roman"/>
                <w:sz w:val="16"/>
                <w:szCs w:val="16"/>
                <w:lang w:val="en-IN" w:eastAsia="en-IN"/>
              </w:rPr>
            </w:pPr>
            <w:r w:rsidRPr="00182BF3">
              <w:rPr>
                <w:rFonts w:eastAsia="Times New Roman"/>
                <w:sz w:val="16"/>
                <w:szCs w:val="16"/>
                <w:lang w:val="en-IN" w:eastAsia="en-IN"/>
              </w:rPr>
              <w:t>Framework</w:t>
            </w:r>
          </w:p>
        </w:tc>
        <w:tc>
          <w:tcPr>
            <w:tcW w:w="0" w:type="auto"/>
            <w:vAlign w:val="center"/>
            <w:hideMark/>
          </w:tcPr>
          <w:p w14:paraId="5D81861C" w14:textId="5E85F899" w:rsidR="00182BF3" w:rsidRPr="00182BF3" w:rsidRDefault="007B1183" w:rsidP="00CA671D">
            <w:pPr>
              <w:spacing w:before="100" w:beforeAutospacing="1" w:after="100" w:afterAutospacing="1"/>
              <w:rPr>
                <w:rFonts w:eastAsia="Times New Roman"/>
                <w:sz w:val="16"/>
                <w:szCs w:val="16"/>
                <w:lang w:val="en-IN" w:eastAsia="en-IN"/>
              </w:rPr>
            </w:pPr>
            <w:r w:rsidRPr="00CA671D">
              <w:rPr>
                <w:rFonts w:eastAsia="Times New Roman"/>
                <w:sz w:val="16"/>
                <w:szCs w:val="16"/>
                <w:lang w:val="en-IN" w:eastAsia="en-IN"/>
              </w:rPr>
              <w:t>Porch</w:t>
            </w:r>
          </w:p>
        </w:tc>
      </w:tr>
    </w:tbl>
    <w:p w14:paraId="1EFF27AF" w14:textId="77777777" w:rsidR="00A918F2" w:rsidRPr="00B77B8C" w:rsidRDefault="00A918F2" w:rsidP="00A918F2">
      <w:pPr>
        <w:pStyle w:val="Heading1"/>
        <w:rPr>
          <w:lang w:val="en-IN"/>
        </w:rPr>
      </w:pPr>
      <w:r>
        <w:t>Conclusion and Future Work</w:t>
      </w:r>
    </w:p>
    <w:p w14:paraId="22DCE60B" w14:textId="5D998FFF" w:rsidR="00CA671D" w:rsidRPr="00CA671D" w:rsidRDefault="00CA671D" w:rsidP="00A918F2">
      <w:pPr>
        <w:spacing w:before="100" w:beforeAutospacing="1" w:after="100" w:afterAutospacing="1"/>
        <w:rPr>
          <w:rFonts w:eastAsia="Times New Roman"/>
          <w:sz w:val="16"/>
          <w:szCs w:val="16"/>
          <w:lang w:eastAsia="en-IN"/>
        </w:rPr>
      </w:pPr>
      <w:r w:rsidRPr="003A476D">
        <w:rPr>
          <w:rFonts w:eastAsia="Times New Roman"/>
          <w:sz w:val="16"/>
          <w:szCs w:val="16"/>
          <w:lang w:eastAsia="en-IN"/>
        </w:rPr>
        <w:t>TABLE I</w:t>
      </w:r>
      <w:r>
        <w:rPr>
          <w:rFonts w:eastAsia="Times New Roman"/>
          <w:sz w:val="16"/>
          <w:szCs w:val="16"/>
          <w:lang w:eastAsia="en-IN"/>
        </w:rPr>
        <w:t>II</w:t>
      </w:r>
      <w:r w:rsidRPr="003A476D">
        <w:rPr>
          <w:rFonts w:eastAsia="Times New Roman"/>
          <w:sz w:val="16"/>
          <w:szCs w:val="16"/>
          <w:lang w:eastAsia="en-IN"/>
        </w:rPr>
        <w:br/>
      </w:r>
      <w:r w:rsidRPr="00CA671D">
        <w:rPr>
          <w:rFonts w:eastAsia="Times New Roman"/>
          <w:sz w:val="16"/>
          <w:szCs w:val="16"/>
          <w:lang w:eastAsia="en-IN"/>
        </w:rPr>
        <w:t>STATISTICAL SUMMARY OF UPDATE INSTABILITY SCORE (UIS)</w:t>
      </w:r>
    </w:p>
    <w:tbl>
      <w:tblPr>
        <w:tblW w:w="0" w:type="auto"/>
        <w:tblCellSpacing w:w="15" w:type="dxa"/>
        <w:tblBorders>
          <w:top w:val="single" w:sz="12" w:space="0" w:color="auto"/>
          <w:left w:val="single" w:sz="12" w:space="0" w:color="auto"/>
          <w:bottom w:val="single" w:sz="12" w:space="0" w:color="auto"/>
          <w:right w:val="single" w:sz="12" w:space="0" w:color="auto"/>
        </w:tblBorders>
        <w:tblCellMar>
          <w:top w:w="15" w:type="dxa"/>
          <w:left w:w="15" w:type="dxa"/>
          <w:bottom w:w="15" w:type="dxa"/>
          <w:right w:w="15" w:type="dxa"/>
        </w:tblCellMar>
        <w:tblLook w:val="04A0" w:firstRow="1" w:lastRow="0" w:firstColumn="1" w:lastColumn="0" w:noHBand="0" w:noVBand="1"/>
      </w:tblPr>
      <w:tblGrid>
        <w:gridCol w:w="1732"/>
        <w:gridCol w:w="1462"/>
        <w:gridCol w:w="1642"/>
      </w:tblGrid>
      <w:tr w:rsidR="00CA671D" w:rsidRPr="00CA671D" w14:paraId="3D17B6CA" w14:textId="77777777" w:rsidTr="00CA671D">
        <w:trPr>
          <w:tblHeader/>
          <w:tblCellSpacing w:w="15" w:type="dxa"/>
        </w:trPr>
        <w:tc>
          <w:tcPr>
            <w:tcW w:w="0" w:type="auto"/>
            <w:tcBorders>
              <w:top w:val="single" w:sz="12" w:space="0" w:color="auto"/>
              <w:bottom w:val="single" w:sz="12" w:space="0" w:color="auto"/>
              <w:right w:val="single" w:sz="12" w:space="0" w:color="auto"/>
            </w:tcBorders>
            <w:vAlign w:val="center"/>
            <w:hideMark/>
          </w:tcPr>
          <w:p w14:paraId="06D842DC" w14:textId="77777777" w:rsidR="00CA671D" w:rsidRPr="00CA671D" w:rsidRDefault="00CA671D" w:rsidP="00CA671D">
            <w:pPr>
              <w:rPr>
                <w:b/>
                <w:bCs/>
                <w:lang w:val="en-IN"/>
              </w:rPr>
            </w:pPr>
            <w:r w:rsidRPr="00CA671D">
              <w:rPr>
                <w:b/>
                <w:bCs/>
                <w:lang w:val="en-IN"/>
              </w:rPr>
              <w:t>Metric</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3189A792" w14:textId="77777777" w:rsidR="00CA671D" w:rsidRPr="00CA671D" w:rsidRDefault="00CA671D" w:rsidP="00CA671D">
            <w:pPr>
              <w:rPr>
                <w:b/>
                <w:bCs/>
                <w:lang w:val="en-IN"/>
              </w:rPr>
            </w:pPr>
            <w:r w:rsidRPr="00CA671D">
              <w:rPr>
                <w:b/>
                <w:bCs/>
                <w:lang w:val="en-IN"/>
              </w:rPr>
              <w:t>Benign Updates</w:t>
            </w:r>
          </w:p>
        </w:tc>
        <w:tc>
          <w:tcPr>
            <w:tcW w:w="0" w:type="auto"/>
            <w:tcBorders>
              <w:top w:val="single" w:sz="12" w:space="0" w:color="auto"/>
              <w:left w:val="single" w:sz="12" w:space="0" w:color="auto"/>
              <w:bottom w:val="single" w:sz="12" w:space="0" w:color="auto"/>
            </w:tcBorders>
            <w:vAlign w:val="center"/>
            <w:hideMark/>
          </w:tcPr>
          <w:p w14:paraId="08EE67FB" w14:textId="77777777" w:rsidR="00CA671D" w:rsidRPr="00CA671D" w:rsidRDefault="00CA671D" w:rsidP="00CA671D">
            <w:pPr>
              <w:rPr>
                <w:b/>
                <w:bCs/>
                <w:lang w:val="en-IN"/>
              </w:rPr>
            </w:pPr>
            <w:r w:rsidRPr="00CA671D">
              <w:rPr>
                <w:b/>
                <w:bCs/>
                <w:lang w:val="en-IN"/>
              </w:rPr>
              <w:t>Poisoned Updates</w:t>
            </w:r>
          </w:p>
        </w:tc>
      </w:tr>
      <w:tr w:rsidR="00CA671D" w:rsidRPr="00CA671D" w14:paraId="7FFED3AF" w14:textId="77777777" w:rsidTr="00CA671D">
        <w:trPr>
          <w:tblCellSpacing w:w="15" w:type="dxa"/>
        </w:trPr>
        <w:tc>
          <w:tcPr>
            <w:tcW w:w="0" w:type="auto"/>
            <w:tcBorders>
              <w:top w:val="single" w:sz="12" w:space="0" w:color="auto"/>
              <w:bottom w:val="nil"/>
              <w:right w:val="single" w:sz="12" w:space="0" w:color="auto"/>
            </w:tcBorders>
            <w:vAlign w:val="center"/>
            <w:hideMark/>
          </w:tcPr>
          <w:p w14:paraId="51CC3C79" w14:textId="77777777" w:rsidR="00CA671D" w:rsidRPr="00CA671D" w:rsidRDefault="00CA671D" w:rsidP="00CA671D">
            <w:pPr>
              <w:rPr>
                <w:sz w:val="16"/>
                <w:szCs w:val="16"/>
                <w:lang w:val="en-IN"/>
              </w:rPr>
            </w:pPr>
            <w:r w:rsidRPr="00CA671D">
              <w:rPr>
                <w:sz w:val="16"/>
                <w:szCs w:val="16"/>
                <w:lang w:val="en-IN"/>
              </w:rPr>
              <w:t>Mean UIS</w:t>
            </w:r>
          </w:p>
        </w:tc>
        <w:tc>
          <w:tcPr>
            <w:tcW w:w="0" w:type="auto"/>
            <w:tcBorders>
              <w:top w:val="single" w:sz="12" w:space="0" w:color="auto"/>
              <w:left w:val="single" w:sz="12" w:space="0" w:color="auto"/>
              <w:bottom w:val="nil"/>
              <w:right w:val="single" w:sz="12" w:space="0" w:color="auto"/>
            </w:tcBorders>
            <w:vAlign w:val="center"/>
            <w:hideMark/>
          </w:tcPr>
          <w:p w14:paraId="2338C6AD" w14:textId="77777777" w:rsidR="00CA671D" w:rsidRPr="00CA671D" w:rsidRDefault="00CA671D" w:rsidP="00CA671D">
            <w:pPr>
              <w:rPr>
                <w:sz w:val="16"/>
                <w:szCs w:val="16"/>
                <w:lang w:val="en-IN"/>
              </w:rPr>
            </w:pPr>
            <w:r w:rsidRPr="00CA671D">
              <w:rPr>
                <w:sz w:val="16"/>
                <w:szCs w:val="16"/>
                <w:lang w:val="en-IN"/>
              </w:rPr>
              <w:t>0.00047</w:t>
            </w:r>
          </w:p>
        </w:tc>
        <w:tc>
          <w:tcPr>
            <w:tcW w:w="0" w:type="auto"/>
            <w:tcBorders>
              <w:top w:val="single" w:sz="12" w:space="0" w:color="auto"/>
              <w:left w:val="single" w:sz="12" w:space="0" w:color="auto"/>
              <w:bottom w:val="nil"/>
            </w:tcBorders>
            <w:vAlign w:val="center"/>
            <w:hideMark/>
          </w:tcPr>
          <w:p w14:paraId="542A90B8" w14:textId="77777777" w:rsidR="00CA671D" w:rsidRPr="00CA671D" w:rsidRDefault="00CA671D" w:rsidP="00CA671D">
            <w:pPr>
              <w:rPr>
                <w:sz w:val="16"/>
                <w:szCs w:val="16"/>
                <w:lang w:val="en-IN"/>
              </w:rPr>
            </w:pPr>
            <w:r w:rsidRPr="00CA671D">
              <w:rPr>
                <w:sz w:val="16"/>
                <w:szCs w:val="16"/>
                <w:lang w:val="en-IN"/>
              </w:rPr>
              <w:t>0.07867</w:t>
            </w:r>
          </w:p>
        </w:tc>
      </w:tr>
      <w:tr w:rsidR="00CA671D" w:rsidRPr="00CA671D" w14:paraId="53C2529C" w14:textId="77777777" w:rsidTr="00CA671D">
        <w:trPr>
          <w:tblCellSpacing w:w="15" w:type="dxa"/>
        </w:trPr>
        <w:tc>
          <w:tcPr>
            <w:tcW w:w="0" w:type="auto"/>
            <w:tcBorders>
              <w:top w:val="nil"/>
              <w:bottom w:val="nil"/>
              <w:right w:val="single" w:sz="12" w:space="0" w:color="auto"/>
            </w:tcBorders>
            <w:vAlign w:val="center"/>
            <w:hideMark/>
          </w:tcPr>
          <w:p w14:paraId="6E0BCF8A" w14:textId="77777777" w:rsidR="00CA671D" w:rsidRPr="00CA671D" w:rsidRDefault="00CA671D" w:rsidP="00CA671D">
            <w:pPr>
              <w:rPr>
                <w:sz w:val="16"/>
                <w:szCs w:val="16"/>
                <w:lang w:val="en-IN"/>
              </w:rPr>
            </w:pPr>
            <w:r w:rsidRPr="00CA671D">
              <w:rPr>
                <w:sz w:val="16"/>
                <w:szCs w:val="16"/>
                <w:lang w:val="en-IN"/>
              </w:rPr>
              <w:t>Std. Deviation</w:t>
            </w:r>
          </w:p>
        </w:tc>
        <w:tc>
          <w:tcPr>
            <w:tcW w:w="0" w:type="auto"/>
            <w:tcBorders>
              <w:top w:val="nil"/>
              <w:left w:val="single" w:sz="12" w:space="0" w:color="auto"/>
              <w:bottom w:val="nil"/>
              <w:right w:val="single" w:sz="12" w:space="0" w:color="auto"/>
            </w:tcBorders>
            <w:vAlign w:val="center"/>
            <w:hideMark/>
          </w:tcPr>
          <w:p w14:paraId="5625E1C9" w14:textId="77777777" w:rsidR="00CA671D" w:rsidRPr="00CA671D" w:rsidRDefault="00CA671D" w:rsidP="00CA671D">
            <w:pPr>
              <w:rPr>
                <w:sz w:val="16"/>
                <w:szCs w:val="16"/>
                <w:lang w:val="en-IN"/>
              </w:rPr>
            </w:pPr>
            <w:r w:rsidRPr="00CA671D">
              <w:rPr>
                <w:sz w:val="16"/>
                <w:szCs w:val="16"/>
                <w:lang w:val="en-IN"/>
              </w:rPr>
              <w:t>0.00015</w:t>
            </w:r>
          </w:p>
        </w:tc>
        <w:tc>
          <w:tcPr>
            <w:tcW w:w="0" w:type="auto"/>
            <w:tcBorders>
              <w:top w:val="nil"/>
              <w:left w:val="single" w:sz="12" w:space="0" w:color="auto"/>
              <w:bottom w:val="nil"/>
            </w:tcBorders>
            <w:vAlign w:val="center"/>
            <w:hideMark/>
          </w:tcPr>
          <w:p w14:paraId="0653B138" w14:textId="77777777" w:rsidR="00CA671D" w:rsidRPr="00CA671D" w:rsidRDefault="00CA671D" w:rsidP="00CA671D">
            <w:pPr>
              <w:rPr>
                <w:sz w:val="16"/>
                <w:szCs w:val="16"/>
                <w:lang w:val="en-IN"/>
              </w:rPr>
            </w:pPr>
            <w:r w:rsidRPr="00CA671D">
              <w:rPr>
                <w:sz w:val="16"/>
                <w:szCs w:val="16"/>
                <w:lang w:val="en-IN"/>
              </w:rPr>
              <w:t>0.00021</w:t>
            </w:r>
          </w:p>
        </w:tc>
      </w:tr>
      <w:tr w:rsidR="00CA671D" w:rsidRPr="00CA671D" w14:paraId="212CAD7B" w14:textId="77777777" w:rsidTr="00CA671D">
        <w:trPr>
          <w:tblCellSpacing w:w="15" w:type="dxa"/>
        </w:trPr>
        <w:tc>
          <w:tcPr>
            <w:tcW w:w="0" w:type="auto"/>
            <w:tcBorders>
              <w:top w:val="nil"/>
              <w:bottom w:val="nil"/>
              <w:right w:val="single" w:sz="12" w:space="0" w:color="auto"/>
            </w:tcBorders>
            <w:vAlign w:val="center"/>
            <w:hideMark/>
          </w:tcPr>
          <w:p w14:paraId="60E81D63" w14:textId="77777777" w:rsidR="00CA671D" w:rsidRPr="00CA671D" w:rsidRDefault="00CA671D" w:rsidP="00CA671D">
            <w:pPr>
              <w:rPr>
                <w:sz w:val="16"/>
                <w:szCs w:val="16"/>
                <w:lang w:val="en-IN"/>
              </w:rPr>
            </w:pPr>
            <w:r w:rsidRPr="00CA671D">
              <w:rPr>
                <w:sz w:val="16"/>
                <w:szCs w:val="16"/>
                <w:lang w:val="en-IN"/>
              </w:rPr>
              <w:t>Std. Error</w:t>
            </w:r>
          </w:p>
        </w:tc>
        <w:tc>
          <w:tcPr>
            <w:tcW w:w="0" w:type="auto"/>
            <w:tcBorders>
              <w:top w:val="nil"/>
              <w:left w:val="single" w:sz="12" w:space="0" w:color="auto"/>
              <w:bottom w:val="nil"/>
              <w:right w:val="single" w:sz="12" w:space="0" w:color="auto"/>
            </w:tcBorders>
            <w:vAlign w:val="center"/>
            <w:hideMark/>
          </w:tcPr>
          <w:p w14:paraId="43BC3C53" w14:textId="77777777" w:rsidR="00CA671D" w:rsidRPr="00CA671D" w:rsidRDefault="00CA671D" w:rsidP="00CA671D">
            <w:pPr>
              <w:rPr>
                <w:sz w:val="16"/>
                <w:szCs w:val="16"/>
                <w:lang w:val="en-IN"/>
              </w:rPr>
            </w:pPr>
            <w:r w:rsidRPr="00CA671D">
              <w:rPr>
                <w:sz w:val="16"/>
                <w:szCs w:val="16"/>
                <w:lang w:val="en-IN"/>
              </w:rPr>
              <w:t>0.00006</w:t>
            </w:r>
          </w:p>
        </w:tc>
        <w:tc>
          <w:tcPr>
            <w:tcW w:w="0" w:type="auto"/>
            <w:tcBorders>
              <w:top w:val="nil"/>
              <w:left w:val="single" w:sz="12" w:space="0" w:color="auto"/>
              <w:bottom w:val="nil"/>
            </w:tcBorders>
            <w:vAlign w:val="center"/>
            <w:hideMark/>
          </w:tcPr>
          <w:p w14:paraId="2763226E" w14:textId="77777777" w:rsidR="00CA671D" w:rsidRPr="00CA671D" w:rsidRDefault="00CA671D" w:rsidP="00CA671D">
            <w:pPr>
              <w:rPr>
                <w:sz w:val="16"/>
                <w:szCs w:val="16"/>
                <w:lang w:val="en-IN"/>
              </w:rPr>
            </w:pPr>
            <w:r w:rsidRPr="00CA671D">
              <w:rPr>
                <w:sz w:val="16"/>
                <w:szCs w:val="16"/>
                <w:lang w:val="en-IN"/>
              </w:rPr>
              <w:t>0.00012</w:t>
            </w:r>
          </w:p>
        </w:tc>
      </w:tr>
      <w:tr w:rsidR="00CA671D" w:rsidRPr="00CA671D" w14:paraId="7B313B9E" w14:textId="77777777" w:rsidTr="00CA671D">
        <w:trPr>
          <w:tblCellSpacing w:w="15" w:type="dxa"/>
        </w:trPr>
        <w:tc>
          <w:tcPr>
            <w:tcW w:w="0" w:type="auto"/>
            <w:tcBorders>
              <w:top w:val="nil"/>
              <w:bottom w:val="nil"/>
              <w:right w:val="single" w:sz="12" w:space="0" w:color="auto"/>
            </w:tcBorders>
            <w:vAlign w:val="center"/>
            <w:hideMark/>
          </w:tcPr>
          <w:p w14:paraId="4A080127" w14:textId="77777777" w:rsidR="00CA671D" w:rsidRPr="00CA671D" w:rsidRDefault="00CA671D" w:rsidP="00CA671D">
            <w:pPr>
              <w:rPr>
                <w:sz w:val="16"/>
                <w:szCs w:val="16"/>
                <w:lang w:val="en-IN"/>
              </w:rPr>
            </w:pPr>
            <w:r w:rsidRPr="00CA671D">
              <w:rPr>
                <w:sz w:val="16"/>
                <w:szCs w:val="16"/>
                <w:lang w:val="en-IN"/>
              </w:rPr>
              <w:t>95% Confidence Interval</w:t>
            </w:r>
          </w:p>
        </w:tc>
        <w:tc>
          <w:tcPr>
            <w:tcW w:w="0" w:type="auto"/>
            <w:tcBorders>
              <w:top w:val="nil"/>
              <w:left w:val="single" w:sz="12" w:space="0" w:color="auto"/>
              <w:bottom w:val="nil"/>
              <w:right w:val="single" w:sz="12" w:space="0" w:color="auto"/>
            </w:tcBorders>
            <w:vAlign w:val="center"/>
            <w:hideMark/>
          </w:tcPr>
          <w:p w14:paraId="30211B39" w14:textId="77777777" w:rsidR="00CA671D" w:rsidRPr="00CA671D" w:rsidRDefault="00CA671D" w:rsidP="00CA671D">
            <w:pPr>
              <w:rPr>
                <w:sz w:val="16"/>
                <w:szCs w:val="16"/>
                <w:lang w:val="en-IN"/>
              </w:rPr>
            </w:pPr>
            <w:r w:rsidRPr="00CA671D">
              <w:rPr>
                <w:sz w:val="16"/>
                <w:szCs w:val="16"/>
                <w:lang w:val="en-IN"/>
              </w:rPr>
              <w:t>±0.00016</w:t>
            </w:r>
          </w:p>
        </w:tc>
        <w:tc>
          <w:tcPr>
            <w:tcW w:w="0" w:type="auto"/>
            <w:tcBorders>
              <w:top w:val="nil"/>
              <w:left w:val="single" w:sz="12" w:space="0" w:color="auto"/>
              <w:bottom w:val="nil"/>
            </w:tcBorders>
            <w:vAlign w:val="center"/>
            <w:hideMark/>
          </w:tcPr>
          <w:p w14:paraId="011E1C53" w14:textId="77777777" w:rsidR="00CA671D" w:rsidRPr="00CA671D" w:rsidRDefault="00CA671D" w:rsidP="00CA671D">
            <w:pPr>
              <w:rPr>
                <w:sz w:val="16"/>
                <w:szCs w:val="16"/>
                <w:lang w:val="en-IN"/>
              </w:rPr>
            </w:pPr>
            <w:r w:rsidRPr="00CA671D">
              <w:rPr>
                <w:sz w:val="16"/>
                <w:szCs w:val="16"/>
                <w:lang w:val="en-IN"/>
              </w:rPr>
              <w:t>±0.00052</w:t>
            </w:r>
          </w:p>
        </w:tc>
      </w:tr>
      <w:tr w:rsidR="00CA671D" w:rsidRPr="00CA671D" w14:paraId="422195AC" w14:textId="77777777" w:rsidTr="00CA671D">
        <w:trPr>
          <w:tblCellSpacing w:w="15" w:type="dxa"/>
        </w:trPr>
        <w:tc>
          <w:tcPr>
            <w:tcW w:w="0" w:type="auto"/>
            <w:tcBorders>
              <w:top w:val="nil"/>
              <w:bottom w:val="nil"/>
              <w:right w:val="single" w:sz="12" w:space="0" w:color="auto"/>
            </w:tcBorders>
            <w:vAlign w:val="center"/>
            <w:hideMark/>
          </w:tcPr>
          <w:p w14:paraId="2AC927B1" w14:textId="77777777" w:rsidR="00CA671D" w:rsidRPr="00CA671D" w:rsidRDefault="00CA671D" w:rsidP="00CA671D">
            <w:pPr>
              <w:rPr>
                <w:sz w:val="16"/>
                <w:szCs w:val="16"/>
                <w:lang w:val="en-IN"/>
              </w:rPr>
            </w:pPr>
            <w:r w:rsidRPr="00CA671D">
              <w:rPr>
                <w:sz w:val="16"/>
                <w:szCs w:val="16"/>
                <w:lang w:val="en-IN"/>
              </w:rPr>
              <w:t>Minimum</w:t>
            </w:r>
          </w:p>
        </w:tc>
        <w:tc>
          <w:tcPr>
            <w:tcW w:w="0" w:type="auto"/>
            <w:tcBorders>
              <w:top w:val="nil"/>
              <w:left w:val="single" w:sz="12" w:space="0" w:color="auto"/>
              <w:bottom w:val="nil"/>
              <w:right w:val="single" w:sz="12" w:space="0" w:color="auto"/>
            </w:tcBorders>
            <w:vAlign w:val="center"/>
            <w:hideMark/>
          </w:tcPr>
          <w:p w14:paraId="02048A18" w14:textId="77777777" w:rsidR="00CA671D" w:rsidRPr="00CA671D" w:rsidRDefault="00CA671D" w:rsidP="00CA671D">
            <w:pPr>
              <w:rPr>
                <w:sz w:val="16"/>
                <w:szCs w:val="16"/>
                <w:lang w:val="en-IN"/>
              </w:rPr>
            </w:pPr>
            <w:r w:rsidRPr="00CA671D">
              <w:rPr>
                <w:sz w:val="16"/>
                <w:szCs w:val="16"/>
                <w:lang w:val="en-IN"/>
              </w:rPr>
              <w:t>0.00031</w:t>
            </w:r>
          </w:p>
        </w:tc>
        <w:tc>
          <w:tcPr>
            <w:tcW w:w="0" w:type="auto"/>
            <w:tcBorders>
              <w:top w:val="nil"/>
              <w:left w:val="single" w:sz="12" w:space="0" w:color="auto"/>
              <w:bottom w:val="nil"/>
            </w:tcBorders>
            <w:vAlign w:val="center"/>
            <w:hideMark/>
          </w:tcPr>
          <w:p w14:paraId="03327791" w14:textId="77777777" w:rsidR="00CA671D" w:rsidRPr="00CA671D" w:rsidRDefault="00CA671D" w:rsidP="00CA671D">
            <w:pPr>
              <w:rPr>
                <w:sz w:val="16"/>
                <w:szCs w:val="16"/>
                <w:lang w:val="en-IN"/>
              </w:rPr>
            </w:pPr>
            <w:r w:rsidRPr="00CA671D">
              <w:rPr>
                <w:sz w:val="16"/>
                <w:szCs w:val="16"/>
                <w:lang w:val="en-IN"/>
              </w:rPr>
              <w:t>0.07815</w:t>
            </w:r>
          </w:p>
        </w:tc>
      </w:tr>
      <w:tr w:rsidR="00CA671D" w:rsidRPr="00CA671D" w14:paraId="458591FB" w14:textId="77777777" w:rsidTr="00CA671D">
        <w:trPr>
          <w:tblCellSpacing w:w="15" w:type="dxa"/>
        </w:trPr>
        <w:tc>
          <w:tcPr>
            <w:tcW w:w="0" w:type="auto"/>
            <w:tcBorders>
              <w:top w:val="nil"/>
              <w:bottom w:val="single" w:sz="12" w:space="0" w:color="auto"/>
              <w:right w:val="single" w:sz="12" w:space="0" w:color="auto"/>
            </w:tcBorders>
            <w:vAlign w:val="center"/>
            <w:hideMark/>
          </w:tcPr>
          <w:p w14:paraId="1D77C777" w14:textId="77777777" w:rsidR="00CA671D" w:rsidRPr="00CA671D" w:rsidRDefault="00CA671D" w:rsidP="00CA671D">
            <w:pPr>
              <w:rPr>
                <w:sz w:val="16"/>
                <w:szCs w:val="16"/>
                <w:lang w:val="en-IN"/>
              </w:rPr>
            </w:pPr>
            <w:r w:rsidRPr="00CA671D">
              <w:rPr>
                <w:sz w:val="16"/>
                <w:szCs w:val="16"/>
                <w:lang w:val="en-IN"/>
              </w:rPr>
              <w:t>Maximum</w:t>
            </w:r>
          </w:p>
        </w:tc>
        <w:tc>
          <w:tcPr>
            <w:tcW w:w="0" w:type="auto"/>
            <w:tcBorders>
              <w:top w:val="nil"/>
              <w:left w:val="single" w:sz="12" w:space="0" w:color="auto"/>
              <w:bottom w:val="single" w:sz="12" w:space="0" w:color="auto"/>
              <w:right w:val="single" w:sz="12" w:space="0" w:color="auto"/>
            </w:tcBorders>
            <w:vAlign w:val="center"/>
            <w:hideMark/>
          </w:tcPr>
          <w:p w14:paraId="172BE637" w14:textId="77777777" w:rsidR="00CA671D" w:rsidRPr="00CA671D" w:rsidRDefault="00CA671D" w:rsidP="00CA671D">
            <w:pPr>
              <w:rPr>
                <w:sz w:val="16"/>
                <w:szCs w:val="16"/>
                <w:lang w:val="en-IN"/>
              </w:rPr>
            </w:pPr>
            <w:r w:rsidRPr="00CA671D">
              <w:rPr>
                <w:sz w:val="16"/>
                <w:szCs w:val="16"/>
                <w:lang w:val="en-IN"/>
              </w:rPr>
              <w:t>0.00062</w:t>
            </w:r>
          </w:p>
        </w:tc>
        <w:tc>
          <w:tcPr>
            <w:tcW w:w="0" w:type="auto"/>
            <w:tcBorders>
              <w:top w:val="nil"/>
              <w:left w:val="single" w:sz="12" w:space="0" w:color="auto"/>
              <w:bottom w:val="single" w:sz="12" w:space="0" w:color="auto"/>
            </w:tcBorders>
            <w:vAlign w:val="center"/>
            <w:hideMark/>
          </w:tcPr>
          <w:p w14:paraId="0A2B987C" w14:textId="77777777" w:rsidR="00CA671D" w:rsidRPr="00CA671D" w:rsidRDefault="00CA671D" w:rsidP="00CA671D">
            <w:pPr>
              <w:rPr>
                <w:sz w:val="16"/>
                <w:szCs w:val="16"/>
                <w:lang w:val="en-IN"/>
              </w:rPr>
            </w:pPr>
            <w:r w:rsidRPr="00CA671D">
              <w:rPr>
                <w:sz w:val="16"/>
                <w:szCs w:val="16"/>
                <w:lang w:val="en-IN"/>
              </w:rPr>
              <w:t>0.07918</w:t>
            </w:r>
          </w:p>
        </w:tc>
      </w:tr>
    </w:tbl>
    <w:p w14:paraId="5B22D4D9" w14:textId="77777777" w:rsidR="00A918F2" w:rsidRDefault="00A918F2" w:rsidP="00CA671D">
      <w:pPr>
        <w:jc w:val="both"/>
      </w:pPr>
    </w:p>
    <w:p w14:paraId="595B4B5C" w14:textId="3A6FAFD7" w:rsidR="00CA671D" w:rsidRDefault="00CA671D" w:rsidP="00CA671D">
      <w:pPr>
        <w:jc w:val="both"/>
      </w:pPr>
      <w:r>
        <w:t>T</w:t>
      </w:r>
      <w:r w:rsidRPr="00CA671D">
        <w:t xml:space="preserve">he statistical summary highlights a clear separation between benign and poisoned model updates. Benign updates consistently exhibit very low UIS values with minimal variance, indicating stable behavior under parameter perturbations. In contrast, poisoned updates produce significantly higher UIS values with tight confidence intervals, despite maintaining comparable classification accuracy. </w:t>
      </w:r>
      <w:r w:rsidR="00A918F2" w:rsidRPr="00CA671D">
        <w:t>The non-overlapping 95% confidence intervals further confirm that UIS provides a reliable and statistically robust signal for distinguishing malicious updates from benign ones prior to deployment.</w:t>
      </w:r>
    </w:p>
    <w:p w14:paraId="6DC0808C" w14:textId="4745E6EC" w:rsidR="00CA671D" w:rsidRDefault="00A918F2" w:rsidP="00CA671D">
      <w:pPr>
        <w:pStyle w:val="Heading1"/>
        <w:rPr>
          <w:lang w:val="en-IN"/>
        </w:rPr>
      </w:pPr>
      <w:r>
        <w:rPr>
          <w:lang w:val="en-IN"/>
        </w:rPr>
        <w:t>Limitations</w:t>
      </w:r>
    </w:p>
    <w:p w14:paraId="61AB45C3" w14:textId="3062F7E5" w:rsidR="00A918F2" w:rsidRDefault="00751E1F" w:rsidP="00CA671D">
      <w:pPr>
        <w:jc w:val="both"/>
      </w:pPr>
      <w:r w:rsidRPr="00751E1F">
        <w:t>The proposed evaluation focuses on update-level behavioral instability under controlled perturbations and simulated adversarial objectives. While strong separation is observed between benign and poisoned updates, detection performance may degrade for extremely weak attacks or unsuitable perturbation scales. Additionally, experiments are limited to image classification tasks and controlled update scenarios.</w:t>
      </w:r>
    </w:p>
    <w:p w14:paraId="226E8C7F" w14:textId="41E49E28" w:rsidR="00751E1F" w:rsidRDefault="00F27FE1" w:rsidP="00CA671D">
      <w:pPr>
        <w:jc w:val="both"/>
      </w:pPr>
      <w:r>
        <w:tab/>
      </w:r>
    </w:p>
    <w:p w14:paraId="609847D6" w14:textId="77777777" w:rsidR="00A73A6C" w:rsidRPr="00A73A6C" w:rsidRDefault="005048C3" w:rsidP="00A73A6C">
      <w:pPr>
        <w:keepNext/>
        <w:jc w:val="both"/>
        <w:rPr>
          <w:color w:val="000000" w:themeColor="text1"/>
          <w:sz w:val="16"/>
          <w:szCs w:val="16"/>
        </w:rPr>
      </w:pPr>
      <w:r w:rsidRPr="00A73A6C">
        <w:rPr>
          <w:noProof/>
          <w:color w:val="000000" w:themeColor="text1"/>
          <w:sz w:val="16"/>
          <w:szCs w:val="16"/>
        </w:rPr>
        <w:drawing>
          <wp:inline distT="0" distB="0" distL="0" distR="0" wp14:anchorId="36BE12B9" wp14:editId="07702BF1">
            <wp:extent cx="3089910" cy="2268220"/>
            <wp:effectExtent l="0" t="0" r="0" b="0"/>
            <wp:docPr id="1927597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9910" cy="2268220"/>
                    </a:xfrm>
                    <a:prstGeom prst="rect">
                      <a:avLst/>
                    </a:prstGeom>
                    <a:noFill/>
                    <a:ln>
                      <a:noFill/>
                    </a:ln>
                  </pic:spPr>
                </pic:pic>
              </a:graphicData>
            </a:graphic>
          </wp:inline>
        </w:drawing>
      </w:r>
    </w:p>
    <w:p w14:paraId="4D08BA2D" w14:textId="36293BF6" w:rsidR="00A73A6C" w:rsidRPr="00A73A6C" w:rsidRDefault="00A73A6C" w:rsidP="00A73A6C">
      <w:pPr>
        <w:pStyle w:val="Caption"/>
        <w:jc w:val="both"/>
        <w:rPr>
          <w:color w:val="000000" w:themeColor="text1"/>
          <w:sz w:val="16"/>
          <w:szCs w:val="16"/>
        </w:rPr>
      </w:pPr>
      <w:r w:rsidRPr="00A73A6C">
        <w:rPr>
          <w:color w:val="000000" w:themeColor="text1"/>
          <w:sz w:val="16"/>
          <w:szCs w:val="16"/>
        </w:rPr>
        <w:t xml:space="preserve">Figure </w:t>
      </w:r>
      <w:r w:rsidRPr="00A73A6C">
        <w:rPr>
          <w:color w:val="000000" w:themeColor="text1"/>
          <w:sz w:val="16"/>
          <w:szCs w:val="16"/>
        </w:rPr>
        <w:fldChar w:fldCharType="begin"/>
      </w:r>
      <w:r w:rsidRPr="00A73A6C">
        <w:rPr>
          <w:color w:val="000000" w:themeColor="text1"/>
          <w:sz w:val="16"/>
          <w:szCs w:val="16"/>
        </w:rPr>
        <w:instrText xml:space="preserve"> SEQ Figure \* ARABIC </w:instrText>
      </w:r>
      <w:r w:rsidRPr="00A73A6C">
        <w:rPr>
          <w:color w:val="000000" w:themeColor="text1"/>
          <w:sz w:val="16"/>
          <w:szCs w:val="16"/>
        </w:rPr>
        <w:fldChar w:fldCharType="separate"/>
      </w:r>
      <w:r w:rsidR="00825C5A">
        <w:rPr>
          <w:noProof/>
          <w:color w:val="000000" w:themeColor="text1"/>
          <w:sz w:val="16"/>
          <w:szCs w:val="16"/>
        </w:rPr>
        <w:t>3</w:t>
      </w:r>
      <w:r w:rsidRPr="00A73A6C">
        <w:rPr>
          <w:color w:val="000000" w:themeColor="text1"/>
          <w:sz w:val="16"/>
          <w:szCs w:val="16"/>
        </w:rPr>
        <w:fldChar w:fldCharType="end"/>
      </w:r>
      <w:r w:rsidRPr="00A73A6C">
        <w:rPr>
          <w:color w:val="000000" w:themeColor="text1"/>
          <w:sz w:val="16"/>
          <w:szCs w:val="16"/>
        </w:rPr>
        <w:t>. Distribution of Update Instability Score (UIS) for benign and adversarial model updates.</w:t>
      </w:r>
    </w:p>
    <w:p w14:paraId="25CE2205" w14:textId="5A087F20" w:rsidR="00A73A6C" w:rsidRDefault="005048C3" w:rsidP="00A73A6C">
      <w:pPr>
        <w:keepNext/>
        <w:jc w:val="both"/>
      </w:pPr>
      <w:r>
        <w:rPr>
          <w:noProof/>
        </w:rPr>
        <w:drawing>
          <wp:inline distT="0" distB="0" distL="0" distR="0" wp14:anchorId="00D250A6" wp14:editId="6610210F">
            <wp:extent cx="3089910" cy="2164080"/>
            <wp:effectExtent l="0" t="0" r="0" b="7620"/>
            <wp:docPr id="721972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2164080"/>
                    </a:xfrm>
                    <a:prstGeom prst="rect">
                      <a:avLst/>
                    </a:prstGeom>
                    <a:noFill/>
                    <a:ln>
                      <a:noFill/>
                    </a:ln>
                  </pic:spPr>
                </pic:pic>
              </a:graphicData>
            </a:graphic>
          </wp:inline>
        </w:drawing>
      </w:r>
    </w:p>
    <w:p w14:paraId="1B588AA4" w14:textId="3F61409C" w:rsidR="00751E1F" w:rsidRDefault="00A73A6C" w:rsidP="00A73A6C">
      <w:pPr>
        <w:pStyle w:val="Caption"/>
        <w:jc w:val="both"/>
        <w:rPr>
          <w:color w:val="000000" w:themeColor="text1"/>
          <w:sz w:val="16"/>
          <w:szCs w:val="16"/>
        </w:rPr>
      </w:pPr>
      <w:r w:rsidRPr="00A73A6C">
        <w:rPr>
          <w:color w:val="000000" w:themeColor="text1"/>
          <w:sz w:val="16"/>
          <w:szCs w:val="16"/>
        </w:rPr>
        <w:t xml:space="preserve">Figure </w:t>
      </w:r>
      <w:r w:rsidRPr="00A73A6C">
        <w:rPr>
          <w:color w:val="000000" w:themeColor="text1"/>
          <w:sz w:val="16"/>
          <w:szCs w:val="16"/>
        </w:rPr>
        <w:fldChar w:fldCharType="begin"/>
      </w:r>
      <w:r w:rsidRPr="00A73A6C">
        <w:rPr>
          <w:color w:val="000000" w:themeColor="text1"/>
          <w:sz w:val="16"/>
          <w:szCs w:val="16"/>
        </w:rPr>
        <w:instrText xml:space="preserve"> SEQ Figure \* ARABIC </w:instrText>
      </w:r>
      <w:r w:rsidRPr="00A73A6C">
        <w:rPr>
          <w:color w:val="000000" w:themeColor="text1"/>
          <w:sz w:val="16"/>
          <w:szCs w:val="16"/>
        </w:rPr>
        <w:fldChar w:fldCharType="separate"/>
      </w:r>
      <w:r w:rsidR="00825C5A">
        <w:rPr>
          <w:noProof/>
          <w:color w:val="000000" w:themeColor="text1"/>
          <w:sz w:val="16"/>
          <w:szCs w:val="16"/>
        </w:rPr>
        <w:t>4</w:t>
      </w:r>
      <w:r w:rsidRPr="00A73A6C">
        <w:rPr>
          <w:color w:val="000000" w:themeColor="text1"/>
          <w:sz w:val="16"/>
          <w:szCs w:val="16"/>
        </w:rPr>
        <w:fldChar w:fldCharType="end"/>
      </w:r>
      <w:r w:rsidRPr="00A73A6C">
        <w:rPr>
          <w:color w:val="000000" w:themeColor="text1"/>
          <w:sz w:val="16"/>
          <w:szCs w:val="16"/>
        </w:rPr>
        <w:t>. Effect of attack strength (λ) on Update Instability Score.</w:t>
      </w:r>
    </w:p>
    <w:p w14:paraId="7B8C04F4" w14:textId="3AB3B5F7" w:rsidR="00A73A6C" w:rsidRPr="00A73A6C" w:rsidRDefault="005048C3" w:rsidP="00A73A6C">
      <w:pPr>
        <w:pStyle w:val="Caption"/>
        <w:jc w:val="both"/>
        <w:rPr>
          <w:color w:val="000000" w:themeColor="text1"/>
          <w:sz w:val="16"/>
          <w:szCs w:val="16"/>
        </w:rPr>
      </w:pPr>
      <w:r w:rsidRPr="005048C3">
        <w:t xml:space="preserve"> </w:t>
      </w:r>
      <w:r>
        <w:rPr>
          <w:noProof/>
        </w:rPr>
        <w:drawing>
          <wp:inline distT="0" distB="0" distL="0" distR="0" wp14:anchorId="14EE0C69" wp14:editId="7D37043E">
            <wp:extent cx="3031327" cy="1972310"/>
            <wp:effectExtent l="0" t="0" r="0" b="8890"/>
            <wp:docPr id="1212493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1041" cy="1978630"/>
                    </a:xfrm>
                    <a:prstGeom prst="rect">
                      <a:avLst/>
                    </a:prstGeom>
                    <a:noFill/>
                    <a:ln>
                      <a:noFill/>
                    </a:ln>
                  </pic:spPr>
                </pic:pic>
              </a:graphicData>
            </a:graphic>
          </wp:inline>
        </w:drawing>
      </w:r>
    </w:p>
    <w:p w14:paraId="45A7037F" w14:textId="7226E985" w:rsidR="00A73A6C" w:rsidRPr="00A73A6C" w:rsidRDefault="00A73A6C" w:rsidP="00A73A6C">
      <w:pPr>
        <w:pStyle w:val="Caption"/>
        <w:jc w:val="both"/>
        <w:rPr>
          <w:color w:val="000000" w:themeColor="text1"/>
          <w:sz w:val="16"/>
          <w:szCs w:val="16"/>
        </w:rPr>
      </w:pPr>
      <w:r w:rsidRPr="00A73A6C">
        <w:rPr>
          <w:color w:val="000000" w:themeColor="text1"/>
          <w:sz w:val="16"/>
          <w:szCs w:val="16"/>
        </w:rPr>
        <w:t xml:space="preserve">Figure </w:t>
      </w:r>
      <w:r w:rsidRPr="00A73A6C">
        <w:rPr>
          <w:color w:val="000000" w:themeColor="text1"/>
          <w:sz w:val="16"/>
          <w:szCs w:val="16"/>
        </w:rPr>
        <w:fldChar w:fldCharType="begin"/>
      </w:r>
      <w:r w:rsidRPr="00A73A6C">
        <w:rPr>
          <w:color w:val="000000" w:themeColor="text1"/>
          <w:sz w:val="16"/>
          <w:szCs w:val="16"/>
        </w:rPr>
        <w:instrText xml:space="preserve"> SEQ Figure \* ARABIC </w:instrText>
      </w:r>
      <w:r w:rsidRPr="00A73A6C">
        <w:rPr>
          <w:color w:val="000000" w:themeColor="text1"/>
          <w:sz w:val="16"/>
          <w:szCs w:val="16"/>
        </w:rPr>
        <w:fldChar w:fldCharType="separate"/>
      </w:r>
      <w:r w:rsidR="00825C5A">
        <w:rPr>
          <w:noProof/>
          <w:color w:val="000000" w:themeColor="text1"/>
          <w:sz w:val="16"/>
          <w:szCs w:val="16"/>
        </w:rPr>
        <w:t>5</w:t>
      </w:r>
      <w:r w:rsidRPr="00A73A6C">
        <w:rPr>
          <w:color w:val="000000" w:themeColor="text1"/>
          <w:sz w:val="16"/>
          <w:szCs w:val="16"/>
        </w:rPr>
        <w:fldChar w:fldCharType="end"/>
      </w:r>
      <w:r w:rsidRPr="00A73A6C">
        <w:rPr>
          <w:color w:val="000000" w:themeColor="text1"/>
          <w:sz w:val="16"/>
          <w:szCs w:val="16"/>
        </w:rPr>
        <w:t>.Sensitivity of Update Instability Score to perturbation magnitude (ε)</w:t>
      </w:r>
    </w:p>
    <w:p w14:paraId="3AF56300" w14:textId="77777777" w:rsidR="00A73A6C" w:rsidRDefault="00A73A6C" w:rsidP="00A73A6C">
      <w:pPr>
        <w:keepNext/>
        <w:jc w:val="both"/>
      </w:pPr>
      <w:r w:rsidRPr="00A73A6C">
        <w:lastRenderedPageBreak/>
        <w:t xml:space="preserve"> </w:t>
      </w:r>
      <w:r>
        <w:rPr>
          <w:noProof/>
        </w:rPr>
        <w:drawing>
          <wp:inline distT="0" distB="0" distL="0" distR="0" wp14:anchorId="0D5CE2B0" wp14:editId="72A137D3">
            <wp:extent cx="3089910" cy="2058670"/>
            <wp:effectExtent l="0" t="0" r="0" b="0"/>
            <wp:docPr id="513033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910" cy="2058670"/>
                    </a:xfrm>
                    <a:prstGeom prst="rect">
                      <a:avLst/>
                    </a:prstGeom>
                    <a:noFill/>
                    <a:ln>
                      <a:noFill/>
                    </a:ln>
                  </pic:spPr>
                </pic:pic>
              </a:graphicData>
            </a:graphic>
          </wp:inline>
        </w:drawing>
      </w:r>
    </w:p>
    <w:p w14:paraId="2D2EFFA0" w14:textId="2D6A5523" w:rsidR="005048C3" w:rsidRPr="00751E1F" w:rsidRDefault="00A73A6C" w:rsidP="00751E1F">
      <w:pPr>
        <w:pStyle w:val="Caption"/>
        <w:jc w:val="both"/>
        <w:rPr>
          <w:color w:val="000000" w:themeColor="text1"/>
          <w:sz w:val="16"/>
          <w:szCs w:val="16"/>
        </w:rPr>
      </w:pPr>
      <w:r w:rsidRPr="00A73A6C">
        <w:rPr>
          <w:color w:val="000000" w:themeColor="text1"/>
          <w:sz w:val="16"/>
          <w:szCs w:val="16"/>
        </w:rPr>
        <w:t xml:space="preserve">Figure </w:t>
      </w:r>
      <w:r w:rsidRPr="00A73A6C">
        <w:rPr>
          <w:color w:val="000000" w:themeColor="text1"/>
          <w:sz w:val="16"/>
          <w:szCs w:val="16"/>
        </w:rPr>
        <w:fldChar w:fldCharType="begin"/>
      </w:r>
      <w:r w:rsidRPr="00A73A6C">
        <w:rPr>
          <w:color w:val="000000" w:themeColor="text1"/>
          <w:sz w:val="16"/>
          <w:szCs w:val="16"/>
        </w:rPr>
        <w:instrText xml:space="preserve"> SEQ Figure \* ARABIC </w:instrText>
      </w:r>
      <w:r w:rsidRPr="00A73A6C">
        <w:rPr>
          <w:color w:val="000000" w:themeColor="text1"/>
          <w:sz w:val="16"/>
          <w:szCs w:val="16"/>
        </w:rPr>
        <w:fldChar w:fldCharType="separate"/>
      </w:r>
      <w:r w:rsidR="00825C5A">
        <w:rPr>
          <w:noProof/>
          <w:color w:val="000000" w:themeColor="text1"/>
          <w:sz w:val="16"/>
          <w:szCs w:val="16"/>
        </w:rPr>
        <w:t>6</w:t>
      </w:r>
      <w:r w:rsidRPr="00A73A6C">
        <w:rPr>
          <w:color w:val="000000" w:themeColor="text1"/>
          <w:sz w:val="16"/>
          <w:szCs w:val="16"/>
        </w:rPr>
        <w:fldChar w:fldCharType="end"/>
      </w:r>
      <w:r w:rsidRPr="00A73A6C">
        <w:rPr>
          <w:color w:val="000000" w:themeColor="text1"/>
          <w:sz w:val="16"/>
          <w:szCs w:val="16"/>
        </w:rPr>
        <w:t>. Update Instability Score evaluated under dataset shift from CIFAR-10 to STL-10.</w:t>
      </w:r>
    </w:p>
    <w:p w14:paraId="47A94873" w14:textId="77777777" w:rsidR="00A918F2" w:rsidRPr="00A918F2" w:rsidRDefault="00A918F2" w:rsidP="00CA671D">
      <w:pPr>
        <w:jc w:val="both"/>
        <w:rPr>
          <w:lang w:val="en-IN"/>
        </w:rPr>
      </w:pPr>
    </w:p>
    <w:p w14:paraId="59FB5E13" w14:textId="77777777" w:rsidR="00B77B8C" w:rsidRPr="00B77B8C" w:rsidRDefault="00B77B8C" w:rsidP="00B77B8C">
      <w:pPr>
        <w:pStyle w:val="Heading1"/>
        <w:rPr>
          <w:lang w:val="en-IN"/>
        </w:rPr>
      </w:pPr>
      <w:r>
        <w:t>Conclusion and Future Work</w:t>
      </w:r>
    </w:p>
    <w:p w14:paraId="56B7EE07" w14:textId="689B28FD" w:rsidR="00B77B8C" w:rsidRPr="0012699C" w:rsidRDefault="00B77B8C" w:rsidP="00B77B8C">
      <w:pPr>
        <w:jc w:val="both"/>
      </w:pPr>
      <w:r w:rsidRPr="00B77B8C">
        <w:t xml:space="preserve">This work addresses a critical gap in AI supply-chain security by demonstrating that accuracy-based validation is insufficient for detecting stealthy adversarial model update poisoning. By introducing the Update Instability Score (UIS), we show that malicious updates can be reliably detected prior to deployment through update-level behavioral analysis, even when task performance remains unchanged. Extensive experiments across attack strengths, perturbation magnitudes, architectures, ensemble updates, and dataset shift validate the robustness and </w:t>
      </w:r>
      <w:r w:rsidR="007B1183" w:rsidRPr="00B77B8C">
        <w:t>deploy ability</w:t>
      </w:r>
      <w:r w:rsidRPr="00B77B8C">
        <w:t xml:space="preserve"> of the proposed approach. Future work will focus on extending update-instability analysis to additional domains such as natural language processing, incorporating richer interpretability mechanisms, and evaluating the approach within larger, real-world AI supply-chain pipelines.</w:t>
      </w:r>
    </w:p>
    <w:p w14:paraId="7CC3EDA7" w14:textId="0C07E915" w:rsidR="009303D9" w:rsidRPr="005B520E" w:rsidRDefault="009303D9" w:rsidP="00121B1E">
      <w:pPr>
        <w:pStyle w:val="Heading5"/>
      </w:pPr>
      <w:r w:rsidRPr="005B520E">
        <w:t>References</w:t>
      </w:r>
    </w:p>
    <w:p w14:paraId="74C3C7D2" w14:textId="405B5CE7" w:rsidR="00121B1E" w:rsidRDefault="00121B1E" w:rsidP="0004781E">
      <w:pPr>
        <w:pStyle w:val="references"/>
        <w:ind w:left="354" w:hanging="354"/>
      </w:pPr>
      <w:r w:rsidRPr="00121B1E">
        <w:t xml:space="preserve">[4] R. Salay, R. Queiroz, and K. Czarnecki, “Supply-Chain Attacks in Machine Learning Frameworks,” </w:t>
      </w:r>
      <w:r w:rsidRPr="00121B1E">
        <w:rPr>
          <w:i/>
          <w:iCs/>
        </w:rPr>
        <w:t>OpenReview</w:t>
      </w:r>
      <w:r w:rsidRPr="00121B1E">
        <w:t>, 202</w:t>
      </w:r>
      <w:r>
        <w:t>3</w:t>
      </w:r>
      <w:r w:rsidRPr="00121B1E">
        <w:t>.</w:t>
      </w:r>
    </w:p>
    <w:p w14:paraId="53966123" w14:textId="72937219" w:rsidR="00836367" w:rsidRPr="00121B1E" w:rsidRDefault="00121B1E" w:rsidP="00121B1E">
      <w:pPr>
        <w:pStyle w:val="references"/>
        <w:ind w:left="354" w:hanging="354"/>
        <w:sectPr w:rsidR="00836367" w:rsidRPr="00121B1E" w:rsidSect="003B4E04">
          <w:type w:val="continuous"/>
          <w:pgSz w:w="11906" w:h="16838" w:code="9"/>
          <w:pgMar w:top="1080" w:right="907" w:bottom="1440" w:left="907" w:header="720" w:footer="720" w:gutter="0"/>
          <w:cols w:num="2" w:space="360"/>
          <w:docGrid w:linePitch="360"/>
        </w:sectPr>
      </w:pPr>
      <w:r w:rsidRPr="00121B1E">
        <w:t xml:space="preserve">R. Salay, R. Queiroz, and K. Czarnecki, “Supply-Chain Attacks in Machine Learning Frameworks,” </w:t>
      </w:r>
      <w:r w:rsidRPr="00121B1E">
        <w:rPr>
          <w:i/>
          <w:iCs/>
        </w:rPr>
        <w:t>OpenReview</w:t>
      </w:r>
      <w:r w:rsidRPr="00121B1E">
        <w:t>, 2022.</w:t>
      </w:r>
    </w:p>
    <w:p w14:paraId="4B1954A8" w14:textId="439102D5" w:rsidR="009303D9" w:rsidRDefault="009303D9" w:rsidP="00121B1E">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DACB2" w14:textId="77777777" w:rsidR="00BE6005" w:rsidRDefault="00BE6005" w:rsidP="001A3B3D">
      <w:r>
        <w:separator/>
      </w:r>
    </w:p>
  </w:endnote>
  <w:endnote w:type="continuationSeparator" w:id="0">
    <w:p w14:paraId="7DD702BB" w14:textId="77777777" w:rsidR="00BE6005" w:rsidRDefault="00BE600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0002" w14:textId="7DF54963" w:rsidR="001A3B3D" w:rsidRPr="007B1183" w:rsidRDefault="001A3B3D" w:rsidP="0056610F">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AC372" w14:textId="77777777" w:rsidR="00BE6005" w:rsidRDefault="00BE6005" w:rsidP="001A3B3D">
      <w:r>
        <w:separator/>
      </w:r>
    </w:p>
  </w:footnote>
  <w:footnote w:type="continuationSeparator" w:id="0">
    <w:p w14:paraId="0B43E3FF" w14:textId="77777777" w:rsidR="00BE6005" w:rsidRDefault="00BE600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66BF"/>
    <w:rsid w:val="0004781E"/>
    <w:rsid w:val="0008758A"/>
    <w:rsid w:val="000C1E68"/>
    <w:rsid w:val="000D3887"/>
    <w:rsid w:val="00106F39"/>
    <w:rsid w:val="00121B1E"/>
    <w:rsid w:val="0012699C"/>
    <w:rsid w:val="00182BF3"/>
    <w:rsid w:val="001A2EFD"/>
    <w:rsid w:val="001A3B3D"/>
    <w:rsid w:val="001B67DC"/>
    <w:rsid w:val="002254A9"/>
    <w:rsid w:val="00233D97"/>
    <w:rsid w:val="002347A2"/>
    <w:rsid w:val="002850E3"/>
    <w:rsid w:val="00330303"/>
    <w:rsid w:val="00354FCF"/>
    <w:rsid w:val="003A19E2"/>
    <w:rsid w:val="003A476D"/>
    <w:rsid w:val="003B2B40"/>
    <w:rsid w:val="003B4E04"/>
    <w:rsid w:val="003F5A08"/>
    <w:rsid w:val="00420716"/>
    <w:rsid w:val="004325FB"/>
    <w:rsid w:val="004432BA"/>
    <w:rsid w:val="0044407E"/>
    <w:rsid w:val="00447BB9"/>
    <w:rsid w:val="0046031D"/>
    <w:rsid w:val="00473AC9"/>
    <w:rsid w:val="004D72B5"/>
    <w:rsid w:val="005048C3"/>
    <w:rsid w:val="0054112B"/>
    <w:rsid w:val="00547634"/>
    <w:rsid w:val="00551B7F"/>
    <w:rsid w:val="0056610F"/>
    <w:rsid w:val="00575BCA"/>
    <w:rsid w:val="005B0344"/>
    <w:rsid w:val="005B520E"/>
    <w:rsid w:val="005D1465"/>
    <w:rsid w:val="005E2800"/>
    <w:rsid w:val="00605825"/>
    <w:rsid w:val="00645D22"/>
    <w:rsid w:val="00651A08"/>
    <w:rsid w:val="00654204"/>
    <w:rsid w:val="00670434"/>
    <w:rsid w:val="006A5D82"/>
    <w:rsid w:val="006B6B66"/>
    <w:rsid w:val="006F6D3D"/>
    <w:rsid w:val="00715BEA"/>
    <w:rsid w:val="00740EEA"/>
    <w:rsid w:val="00751E1F"/>
    <w:rsid w:val="00794804"/>
    <w:rsid w:val="007B1183"/>
    <w:rsid w:val="007B33F1"/>
    <w:rsid w:val="007B5C8E"/>
    <w:rsid w:val="007B6DDA"/>
    <w:rsid w:val="007C0308"/>
    <w:rsid w:val="007C2FF2"/>
    <w:rsid w:val="007D6232"/>
    <w:rsid w:val="007F1F99"/>
    <w:rsid w:val="007F768F"/>
    <w:rsid w:val="0080791D"/>
    <w:rsid w:val="008147B5"/>
    <w:rsid w:val="00825C5A"/>
    <w:rsid w:val="00834110"/>
    <w:rsid w:val="00836367"/>
    <w:rsid w:val="00873603"/>
    <w:rsid w:val="008A2C7D"/>
    <w:rsid w:val="008B6524"/>
    <w:rsid w:val="008C4B23"/>
    <w:rsid w:val="008F6E2C"/>
    <w:rsid w:val="009303D9"/>
    <w:rsid w:val="00933C64"/>
    <w:rsid w:val="009634F4"/>
    <w:rsid w:val="00972203"/>
    <w:rsid w:val="009F1D79"/>
    <w:rsid w:val="00A059B3"/>
    <w:rsid w:val="00A42786"/>
    <w:rsid w:val="00A55BF4"/>
    <w:rsid w:val="00A73A6C"/>
    <w:rsid w:val="00A918F2"/>
    <w:rsid w:val="00AB35D8"/>
    <w:rsid w:val="00AB4DB3"/>
    <w:rsid w:val="00AE3409"/>
    <w:rsid w:val="00B11A60"/>
    <w:rsid w:val="00B22613"/>
    <w:rsid w:val="00B44A76"/>
    <w:rsid w:val="00B768D1"/>
    <w:rsid w:val="00B77B8C"/>
    <w:rsid w:val="00BA1025"/>
    <w:rsid w:val="00BC3420"/>
    <w:rsid w:val="00BD670B"/>
    <w:rsid w:val="00BE6005"/>
    <w:rsid w:val="00BE7D3C"/>
    <w:rsid w:val="00BF5FF6"/>
    <w:rsid w:val="00C0207F"/>
    <w:rsid w:val="00C16117"/>
    <w:rsid w:val="00C3075A"/>
    <w:rsid w:val="00C54955"/>
    <w:rsid w:val="00C919A4"/>
    <w:rsid w:val="00CA4392"/>
    <w:rsid w:val="00CA671D"/>
    <w:rsid w:val="00CC393F"/>
    <w:rsid w:val="00D2176E"/>
    <w:rsid w:val="00D632BE"/>
    <w:rsid w:val="00D72D06"/>
    <w:rsid w:val="00D7522C"/>
    <w:rsid w:val="00D7536F"/>
    <w:rsid w:val="00D76668"/>
    <w:rsid w:val="00D808D7"/>
    <w:rsid w:val="00D829B4"/>
    <w:rsid w:val="00E07383"/>
    <w:rsid w:val="00E165BC"/>
    <w:rsid w:val="00E61E12"/>
    <w:rsid w:val="00E7596C"/>
    <w:rsid w:val="00E878F2"/>
    <w:rsid w:val="00ED0149"/>
    <w:rsid w:val="00EF7DE3"/>
    <w:rsid w:val="00F03103"/>
    <w:rsid w:val="00F271DE"/>
    <w:rsid w:val="00F27FE1"/>
    <w:rsid w:val="00F627DA"/>
    <w:rsid w:val="00F7288F"/>
    <w:rsid w:val="00F847A6"/>
    <w:rsid w:val="00F9441B"/>
    <w:rsid w:val="00FA4C32"/>
    <w:rsid w:val="00FC0BF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72F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671D"/>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AB35D8"/>
    <w:rPr>
      <w:sz w:val="24"/>
      <w:szCs w:val="24"/>
    </w:rPr>
  </w:style>
  <w:style w:type="character" w:styleId="Hyperlink">
    <w:name w:val="Hyperlink"/>
    <w:basedOn w:val="DefaultParagraphFont"/>
    <w:rsid w:val="00D808D7"/>
    <w:rPr>
      <w:color w:val="0563C1" w:themeColor="hyperlink"/>
      <w:u w:val="single"/>
    </w:rPr>
  </w:style>
  <w:style w:type="character" w:styleId="UnresolvedMention">
    <w:name w:val="Unresolved Mention"/>
    <w:basedOn w:val="DefaultParagraphFont"/>
    <w:uiPriority w:val="99"/>
    <w:semiHidden/>
    <w:unhideWhenUsed/>
    <w:rsid w:val="00D808D7"/>
    <w:rPr>
      <w:color w:val="605E5C"/>
      <w:shd w:val="clear" w:color="auto" w:fill="E1DFDD"/>
    </w:rPr>
  </w:style>
  <w:style w:type="character" w:customStyle="1" w:styleId="Heading1Char">
    <w:name w:val="Heading 1 Char"/>
    <w:basedOn w:val="DefaultParagraphFont"/>
    <w:link w:val="Heading1"/>
    <w:rsid w:val="00D808D7"/>
    <w:rPr>
      <w:smallCaps/>
      <w:noProof/>
    </w:rPr>
  </w:style>
  <w:style w:type="character" w:styleId="Emphasis">
    <w:name w:val="Emphasis"/>
    <w:basedOn w:val="DefaultParagraphFont"/>
    <w:uiPriority w:val="20"/>
    <w:qFormat/>
    <w:rsid w:val="00D808D7"/>
    <w:rPr>
      <w:i/>
      <w:iCs/>
    </w:rPr>
  </w:style>
  <w:style w:type="paragraph" w:styleId="Caption">
    <w:name w:val="caption"/>
    <w:basedOn w:val="Normal"/>
    <w:next w:val="Normal"/>
    <w:unhideWhenUsed/>
    <w:qFormat/>
    <w:rsid w:val="003A476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4</Pages>
  <Words>1917</Words>
  <Characters>10930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Ash Chatterjee</dc:creator>
  <cp:keywords/>
  <cp:lastModifiedBy>Ash Chatterjee</cp:lastModifiedBy>
  <cp:revision>5</cp:revision>
  <cp:lastPrinted>2026-02-09T17:40:00Z</cp:lastPrinted>
  <dcterms:created xsi:type="dcterms:W3CDTF">2026-02-09T07:32:00Z</dcterms:created>
  <dcterms:modified xsi:type="dcterms:W3CDTF">2026-02-09T17:52:00Z</dcterms:modified>
</cp:coreProperties>
</file>