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75A194" w14:textId="77777777" w:rsidR="00A40718" w:rsidRDefault="003C70E7">
      <w:pPr>
        <w:pStyle w:val="1"/>
      </w:pPr>
      <w:r>
        <w:rPr>
          <w:rFonts w:ascii="华文楷体" w:eastAsia="华文楷体" w:hAnsi="华文楷体"/>
          <w:color w:val="000000"/>
        </w:rPr>
        <w:t>流动性</w:t>
      </w:r>
    </w:p>
    <w:p w14:paraId="0FC49791" w14:textId="77777777" w:rsidR="00A40718" w:rsidRDefault="003C70E7">
      <w:r>
        <w:rPr>
          <w:noProof/>
        </w:rPr>
        <w:drawing>
          <wp:inline distT="0" distB="0" distL="0" distR="0" wp14:anchorId="132A2FDC" wp14:editId="2C747C50">
            <wp:extent cx="6645600" cy="2215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nal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22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73F44" w14:textId="6429769D" w:rsidR="00A40718" w:rsidRDefault="003C70E7">
      <w:pPr>
        <w:ind w:hanging="360"/>
        <w:rPr>
          <w:rFonts w:hint="eastAsia"/>
          <w:lang w:eastAsia="zh-CN"/>
        </w:rPr>
      </w:pPr>
      <w:r>
        <w:rPr>
          <w:lang w:eastAsia="zh-CN"/>
        </w:rPr>
        <w:t>流动性观察</w:t>
      </w:r>
      <w:r w:rsidR="00600C6A">
        <w:rPr>
          <w:rFonts w:hint="eastAsia"/>
          <w:lang w:eastAsia="zh-CN"/>
        </w:rPr>
        <w:t>：</w:t>
      </w:r>
      <w:r w:rsidR="00575BDA">
        <w:rPr>
          <w:rFonts w:hint="eastAsia"/>
          <w:lang w:eastAsia="zh-CN"/>
        </w:rPr>
        <w:t>本周</w:t>
      </w:r>
      <w:r w:rsidR="00575BDA">
        <w:rPr>
          <w:lang w:eastAsia="zh-CN"/>
        </w:rPr>
        <w:t>R007-DR007</w:t>
      </w:r>
      <w:r w:rsidR="00575BDA">
        <w:rPr>
          <w:rFonts w:hint="eastAsia"/>
          <w:lang w:eastAsia="zh-CN"/>
        </w:rPr>
        <w:t>利差走窄1</w:t>
      </w:r>
      <w:r w:rsidR="00575BDA">
        <w:rPr>
          <w:lang w:eastAsia="zh-CN"/>
        </w:rPr>
        <w:t>2.68</w:t>
      </w:r>
      <w:r w:rsidR="00575BDA">
        <w:rPr>
          <w:rFonts w:hint="eastAsia"/>
          <w:lang w:eastAsia="zh-CN"/>
        </w:rPr>
        <w:t>BP至当前的</w:t>
      </w:r>
      <w:r w:rsidR="00575BDA">
        <w:rPr>
          <w:lang w:eastAsia="zh-CN"/>
        </w:rPr>
        <w:t>-0.03</w:t>
      </w:r>
      <w:r w:rsidR="00575BDA">
        <w:rPr>
          <w:rFonts w:hint="eastAsia"/>
          <w:lang w:eastAsia="zh-CN"/>
        </w:rPr>
        <w:t>BP，进入历史低位，市场流动性宽裕。</w:t>
      </w:r>
    </w:p>
    <w:p w14:paraId="3F42BFE9" w14:textId="77777777" w:rsidR="00A40718" w:rsidRDefault="003C70E7">
      <w:pPr>
        <w:pStyle w:val="1"/>
        <w:rPr>
          <w:lang w:eastAsia="zh-CN"/>
        </w:rPr>
      </w:pPr>
      <w:r>
        <w:rPr>
          <w:rFonts w:ascii="华文楷体" w:eastAsia="华文楷体" w:hAnsi="华文楷体"/>
          <w:color w:val="000000"/>
          <w:lang w:eastAsia="zh-CN"/>
        </w:rPr>
        <w:t>利率债</w:t>
      </w:r>
    </w:p>
    <w:p w14:paraId="7EC92DED" w14:textId="555C55F8" w:rsidR="00A40718" w:rsidRDefault="003C70E7">
      <w:pPr>
        <w:rPr>
          <w:rFonts w:hint="eastAsia"/>
          <w:lang w:eastAsia="zh-CN"/>
        </w:rPr>
      </w:pPr>
      <w:r>
        <w:rPr>
          <w:noProof/>
        </w:rPr>
        <w:drawing>
          <wp:inline distT="0" distB="0" distL="0" distR="0" wp14:anchorId="0393C47B" wp14:editId="56E55A21">
            <wp:extent cx="6645600" cy="2215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nal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22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3C69A" w14:textId="77777777" w:rsidR="00A40718" w:rsidRDefault="003C70E7">
      <w:r>
        <w:rPr>
          <w:noProof/>
        </w:rPr>
        <w:drawing>
          <wp:inline distT="0" distB="0" distL="0" distR="0" wp14:anchorId="37BF8DB7" wp14:editId="0DF7B918">
            <wp:extent cx="6644640" cy="232954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nal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55355" cy="2333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9B22D" w14:textId="77777777" w:rsidR="00D328B4" w:rsidRDefault="003C70E7" w:rsidP="00D328B4">
      <w:pPr>
        <w:ind w:hanging="360"/>
        <w:rPr>
          <w:lang w:eastAsia="zh-CN"/>
        </w:rPr>
      </w:pPr>
      <w:r>
        <w:rPr>
          <w:lang w:eastAsia="zh-CN"/>
        </w:rPr>
        <w:t>利率债交易情绪与配置力量</w:t>
      </w:r>
    </w:p>
    <w:p w14:paraId="5116ABD4" w14:textId="6C163267" w:rsidR="00A40718" w:rsidRDefault="00D328B4" w:rsidP="007F6C49">
      <w:pPr>
        <w:ind w:firstLineChars="200" w:firstLine="440"/>
        <w:mirrorIndents/>
        <w:rPr>
          <w:lang w:eastAsia="zh-CN"/>
        </w:rPr>
      </w:pPr>
      <w:r>
        <w:rPr>
          <w:rFonts w:hint="eastAsia"/>
          <w:lang w:eastAsia="zh-CN"/>
        </w:rPr>
        <w:lastRenderedPageBreak/>
        <w:t>交易情绪上，国开债-国债</w:t>
      </w:r>
      <w:r w:rsidR="00294320">
        <w:rPr>
          <w:rFonts w:hint="eastAsia"/>
          <w:lang w:eastAsia="zh-CN"/>
        </w:rPr>
        <w:t>利差</w:t>
      </w:r>
      <w:r w:rsidR="00F10C91">
        <w:rPr>
          <w:rFonts w:hint="eastAsia"/>
          <w:lang w:eastAsia="zh-CN"/>
        </w:rPr>
        <w:t>小幅</w:t>
      </w:r>
      <w:r>
        <w:rPr>
          <w:rFonts w:hint="eastAsia"/>
          <w:lang w:eastAsia="zh-CN"/>
        </w:rPr>
        <w:t>上行2</w:t>
      </w:r>
      <w:r>
        <w:rPr>
          <w:lang w:eastAsia="zh-CN"/>
        </w:rPr>
        <w:t>.5</w:t>
      </w:r>
      <w:r w:rsidR="00F10C91">
        <w:rPr>
          <w:rFonts w:hint="eastAsia"/>
          <w:lang w:eastAsia="zh-CN"/>
        </w:rPr>
        <w:t>BP</w:t>
      </w:r>
      <w:r>
        <w:rPr>
          <w:rFonts w:hint="eastAsia"/>
          <w:lang w:eastAsia="zh-CN"/>
        </w:rPr>
        <w:t>；配置力量上，</w:t>
      </w:r>
      <w:r w:rsidR="007F6C49">
        <w:rPr>
          <w:rFonts w:hint="eastAsia"/>
          <w:lang w:eastAsia="zh-CN"/>
        </w:rPr>
        <w:t>一级招标延续向好</w:t>
      </w:r>
      <w:r w:rsidR="007F6C49"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十年期国开债全场倍数突破</w:t>
      </w:r>
      <w:r w:rsidR="007F6C49">
        <w:rPr>
          <w:rFonts w:hint="eastAsia"/>
          <w:lang w:eastAsia="zh-CN"/>
        </w:rPr>
        <w:t>其2</w:t>
      </w:r>
      <w:r w:rsidR="007F6C49">
        <w:rPr>
          <w:lang w:eastAsia="zh-CN"/>
        </w:rPr>
        <w:t>020</w:t>
      </w:r>
      <w:r w:rsidR="007F6C49">
        <w:rPr>
          <w:rFonts w:hint="eastAsia"/>
          <w:lang w:eastAsia="zh-CN"/>
        </w:rPr>
        <w:t>年以来0</w:t>
      </w:r>
      <w:r w:rsidR="007F6C49">
        <w:rPr>
          <w:lang w:eastAsia="zh-CN"/>
        </w:rPr>
        <w:t>.</w:t>
      </w:r>
      <w:r w:rsidR="007F6C49">
        <w:rPr>
          <w:rFonts w:hint="eastAsia"/>
          <w:lang w:eastAsia="zh-CN"/>
        </w:rPr>
        <w:t>7</w:t>
      </w:r>
      <w:r w:rsidR="007F6C49">
        <w:rPr>
          <w:lang w:eastAsia="zh-CN"/>
        </w:rPr>
        <w:t>5</w:t>
      </w:r>
      <w:r w:rsidR="007F6C49">
        <w:rPr>
          <w:rFonts w:hint="eastAsia"/>
          <w:lang w:eastAsia="zh-CN"/>
        </w:rPr>
        <w:t>分位数，五年期、十年期国开债的综收也明显低于中债估值。</w:t>
      </w:r>
    </w:p>
    <w:p w14:paraId="3162AFAA" w14:textId="241079E0" w:rsidR="007F6C49" w:rsidRPr="00F10C91" w:rsidRDefault="002525A0" w:rsidP="00F10C91">
      <w:pPr>
        <w:ind w:firstLineChars="200" w:firstLine="440"/>
        <w:mirrorIndents/>
        <w:rPr>
          <w:rFonts w:hint="eastAsia"/>
          <w:lang w:eastAsia="zh-CN"/>
        </w:rPr>
      </w:pPr>
      <w:r>
        <w:rPr>
          <w:rFonts w:hint="eastAsia"/>
          <w:lang w:eastAsia="zh-CN"/>
        </w:rPr>
        <w:t>期限利差：</w:t>
      </w:r>
      <w:r w:rsidR="00F10C91">
        <w:rPr>
          <w:rFonts w:hint="eastAsia"/>
          <w:lang w:eastAsia="zh-CN"/>
        </w:rPr>
        <w:t>国开债</w:t>
      </w:r>
      <w:r>
        <w:rPr>
          <w:rFonts w:hint="eastAsia"/>
          <w:lang w:eastAsia="zh-CN"/>
        </w:rPr>
        <w:t>1</w:t>
      </w:r>
      <w:r>
        <w:rPr>
          <w:lang w:eastAsia="zh-CN"/>
        </w:rPr>
        <w:t>0</w:t>
      </w:r>
      <w:r w:rsidR="00F10C91">
        <w:rPr>
          <w:rFonts w:hint="eastAsia"/>
          <w:lang w:eastAsia="zh-CN"/>
        </w:rPr>
        <w:t>Y</w:t>
      </w:r>
      <w:r>
        <w:rPr>
          <w:lang w:eastAsia="zh-CN"/>
        </w:rPr>
        <w:t>-1</w:t>
      </w:r>
      <w:r w:rsidR="00F10C91">
        <w:rPr>
          <w:rFonts w:hint="eastAsia"/>
          <w:lang w:eastAsia="zh-CN"/>
        </w:rPr>
        <w:t>Y</w:t>
      </w:r>
      <w:r>
        <w:rPr>
          <w:rFonts w:hint="eastAsia"/>
          <w:lang w:eastAsia="zh-CN"/>
        </w:rPr>
        <w:t>利差</w:t>
      </w:r>
      <w:r w:rsidR="00F10C91">
        <w:rPr>
          <w:rFonts w:hint="eastAsia"/>
          <w:lang w:eastAsia="zh-CN"/>
        </w:rPr>
        <w:t>走阔约5</w:t>
      </w:r>
      <w:r w:rsidR="00F10C91">
        <w:rPr>
          <w:lang w:eastAsia="zh-CN"/>
        </w:rPr>
        <w:t>.6</w:t>
      </w:r>
      <w:r w:rsidR="00F10C91">
        <w:rPr>
          <w:rFonts w:hint="eastAsia"/>
          <w:lang w:eastAsia="zh-CN"/>
        </w:rPr>
        <w:t>BP</w:t>
      </w:r>
      <w:r>
        <w:rPr>
          <w:rFonts w:hint="eastAsia"/>
          <w:lang w:eastAsia="zh-CN"/>
        </w:rPr>
        <w:t>，</w:t>
      </w:r>
      <w:r w:rsidR="00F10C91">
        <w:rPr>
          <w:lang w:eastAsia="zh-CN"/>
        </w:rPr>
        <w:t>国开债</w:t>
      </w:r>
      <w:r w:rsidR="00F10C91">
        <w:rPr>
          <w:rFonts w:hint="eastAsia"/>
          <w:lang w:eastAsia="zh-CN"/>
        </w:rPr>
        <w:t>1</w:t>
      </w:r>
      <w:r w:rsidR="00F10C91">
        <w:rPr>
          <w:lang w:eastAsia="zh-CN"/>
        </w:rPr>
        <w:t>0</w:t>
      </w:r>
      <w:r w:rsidR="00F10C91">
        <w:rPr>
          <w:rFonts w:hint="eastAsia"/>
          <w:lang w:eastAsia="zh-CN"/>
        </w:rPr>
        <w:t>Y</w:t>
      </w:r>
      <w:r w:rsidR="00F10C91">
        <w:rPr>
          <w:lang w:eastAsia="zh-CN"/>
        </w:rPr>
        <w:t>较</w:t>
      </w:r>
      <w:r w:rsidR="00F10C91">
        <w:rPr>
          <w:rFonts w:hint="eastAsia"/>
          <w:lang w:eastAsia="zh-CN"/>
        </w:rPr>
        <w:t>R</w:t>
      </w:r>
      <w:r w:rsidR="00F10C91">
        <w:rPr>
          <w:lang w:eastAsia="zh-CN"/>
        </w:rPr>
        <w:t>007</w:t>
      </w:r>
      <w:r w:rsidR="00F10C91">
        <w:rPr>
          <w:rFonts w:hint="eastAsia"/>
          <w:lang w:eastAsia="zh-CN"/>
        </w:rPr>
        <w:t>利率走阔3</w:t>
      </w:r>
      <w:r w:rsidR="00F10C91">
        <w:rPr>
          <w:lang w:eastAsia="zh-CN"/>
        </w:rPr>
        <w:t>3</w:t>
      </w:r>
      <w:r w:rsidR="00F10C91">
        <w:rPr>
          <w:rFonts w:hint="eastAsia"/>
          <w:lang w:eastAsia="zh-CN"/>
        </w:rPr>
        <w:t>BP</w:t>
      </w:r>
      <w:r w:rsidR="00F10C91">
        <w:rPr>
          <w:rFonts w:hint="eastAsia"/>
          <w:lang w:eastAsia="zh-CN"/>
        </w:rPr>
        <w:t>，</w:t>
      </w:r>
      <w:r w:rsidR="00F10C91">
        <w:rPr>
          <w:rFonts w:hint="eastAsia"/>
          <w:lang w:eastAsia="zh-CN"/>
        </w:rPr>
        <w:t>仍处于历史较高水平的位置。</w:t>
      </w:r>
    </w:p>
    <w:p w14:paraId="6DCAD275" w14:textId="77777777" w:rsidR="00A40718" w:rsidRDefault="003C70E7">
      <w:pPr>
        <w:pStyle w:val="1"/>
        <w:rPr>
          <w:lang w:eastAsia="zh-CN"/>
        </w:rPr>
      </w:pPr>
      <w:r>
        <w:rPr>
          <w:rFonts w:ascii="华文楷体" w:eastAsia="华文楷体" w:hAnsi="华文楷体"/>
          <w:color w:val="000000"/>
          <w:lang w:eastAsia="zh-CN"/>
        </w:rPr>
        <w:t>信用债</w:t>
      </w:r>
    </w:p>
    <w:p w14:paraId="18F8C8AB" w14:textId="77777777" w:rsidR="00A40718" w:rsidRDefault="003C70E7">
      <w:r>
        <w:rPr>
          <w:noProof/>
        </w:rPr>
        <w:drawing>
          <wp:inline distT="0" distB="0" distL="0" distR="0" wp14:anchorId="528F8D26" wp14:editId="6826BBBA">
            <wp:extent cx="6645600" cy="2215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nal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22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70CD5" w14:textId="77777777" w:rsidR="00A40718" w:rsidRDefault="003C70E7">
      <w:r>
        <w:rPr>
          <w:noProof/>
        </w:rPr>
        <w:drawing>
          <wp:inline distT="0" distB="0" distL="0" distR="0" wp14:anchorId="30FCAF01" wp14:editId="67D43B7B">
            <wp:extent cx="3227294" cy="215152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nal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42924" cy="2161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41083" w14:textId="77777777" w:rsidR="00A40718" w:rsidRDefault="003C70E7">
      <w:pPr>
        <w:ind w:hanging="360"/>
        <w:rPr>
          <w:lang w:eastAsia="zh-CN"/>
        </w:rPr>
      </w:pPr>
      <w:r>
        <w:rPr>
          <w:lang w:eastAsia="zh-CN"/>
        </w:rPr>
        <w:t>利率债交易情绪与配置力量</w:t>
      </w:r>
    </w:p>
    <w:sectPr w:rsidR="00A40718" w:rsidSect="000346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1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525A0"/>
    <w:rsid w:val="00294320"/>
    <w:rsid w:val="0029639D"/>
    <w:rsid w:val="00326F90"/>
    <w:rsid w:val="003C70E7"/>
    <w:rsid w:val="00575BDA"/>
    <w:rsid w:val="00600C6A"/>
    <w:rsid w:val="007F6C49"/>
    <w:rsid w:val="00A40718"/>
    <w:rsid w:val="00AA1D8D"/>
    <w:rsid w:val="00B47730"/>
    <w:rsid w:val="00CB0664"/>
    <w:rsid w:val="00D328B4"/>
    <w:rsid w:val="00F10C9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B751F7F"/>
  <w14:defaultImageDpi w14:val="300"/>
  <w15:docId w15:val="{BBB743B2-6339-8E4C-B590-7D15ABD06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  <w:rPr>
      <w:rFonts w:ascii="华文楷体" w:eastAsia="华文楷体" w:hAnsi="华文楷体"/>
    </w:rPr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 字符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脚 字符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标题 1 字符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 字符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 字符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标题 字符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标题 字符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正文文本 字符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正文文本 3 字符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宏文本 字符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用 字符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明显引用 字符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1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2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3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4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5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6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7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8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38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吴 德天</cp:lastModifiedBy>
  <cp:revision>2</cp:revision>
  <dcterms:created xsi:type="dcterms:W3CDTF">2013-12-23T23:15:00Z</dcterms:created>
  <dcterms:modified xsi:type="dcterms:W3CDTF">2021-06-07T07:42:00Z</dcterms:modified>
  <cp:category/>
</cp:coreProperties>
</file>