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微软雅黑" w:hAnsi="微软雅黑" w:eastAsia="微软雅黑"/>
          <w:b/>
          <w:color w:val="1F3A68"/>
          <w:sz w:val="40"/>
        </w:rPr>
        <w:t>刘  洋</w:t>
      </w:r>
    </w:p>
    <w:p>
      <w:pPr>
        <w:spacing w:before="0" w:after="40" w:line="240" w:lineRule="auto"/>
        <w:jc w:val="center"/>
      </w:pPr>
      <w:r>
        <w:rPr>
          <w:rFonts w:ascii="微软雅黑" w:hAnsi="微软雅黑" w:eastAsia="微软雅黑"/>
          <w:b w:val="0"/>
          <w:color w:val="404040"/>
          <w:sz w:val="20"/>
        </w:rPr>
        <w:t>京东广告产研部 · 站外广告架构负责人 / 资深架构师</w:t>
      </w:r>
    </w:p>
    <w:p>
      <w:pPr>
        <w:spacing w:before="0" w:after="40" w:line="240" w:lineRule="auto"/>
        <w:jc w:val="center"/>
        <w:pBdr>
          <w:bottom w:val="single" w:sz="8" w:space="1" w:color="1F3A68"/>
        </w:pBdr>
      </w:pPr>
      <w:r>
        <w:rPr>
          <w:rFonts w:ascii="微软雅黑" w:hAnsi="微软雅黑" w:eastAsia="微软雅黑"/>
          <w:b w:val="0"/>
          <w:color w:val="404040"/>
          <w:sz w:val="18"/>
        </w:rPr>
        <w:t>男 / 32岁　|　186-0244-7402　|　ly910704@163.com　|　本科 · 辽宁石油化工大学 · 计算机科学与技术（2009.09–2013.07）</w:t>
      </w:r>
    </w:p>
    <w:p>
      <w:pPr>
        <w:spacing w:before="80" w:after="40" w:line="240" w:lineRule="auto"/>
        <w:pBdr>
          <w:bottom w:val="single" w:sz="6" w:space="1" w:color="1F3A68"/>
        </w:pBdr>
      </w:pPr>
      <w:r>
        <w:rPr>
          <w:rFonts w:ascii="微软雅黑" w:hAnsi="微软雅黑" w:eastAsia="微软雅黑"/>
          <w:b/>
          <w:color w:val="1F3A68"/>
          <w:sz w:val="21"/>
        </w:rPr>
        <w:t>个人简介</w:t>
      </w:r>
    </w:p>
    <w:p>
      <w:pPr>
        <w:spacing w:before="0" w:after="0" w:line="264" w:lineRule="auto"/>
      </w:pPr>
      <w:r>
        <w:rPr>
          <w:rFonts w:ascii="微软雅黑" w:hAnsi="微软雅黑" w:eastAsia="微软雅黑"/>
          <w:sz w:val="18"/>
        </w:rPr>
        <w:t>13 年研发经验，京东 8 年，现任站外广告架构负责人，主导承接日均 2000 亿请求、140ms 时延约束的极高并发广告系统。专注业务价值驱动的架构创新与前沿落地，近 2 年累计优化算力 20 万核、降本 7300 万元、端到端时延下降 46%；在机器零增长前提下支撑站外广告大盘收入两位数增长，2025 年财收 8.8 亿、同比 +19%。近 2 年绩效 A 占比 60%+，获 2025 京东零售百强明星员工、2024 零售技术金码奖软开大咖。</w:t>
      </w:r>
    </w:p>
    <w:p>
      <w:pPr>
        <w:spacing w:before="80" w:after="40" w:line="240" w:lineRule="auto"/>
        <w:pBdr>
          <w:bottom w:val="single" w:sz="6" w:space="1" w:color="1F3A68"/>
        </w:pBdr>
      </w:pPr>
      <w:r>
        <w:rPr>
          <w:rFonts w:ascii="微软雅黑" w:hAnsi="微软雅黑" w:eastAsia="微软雅黑"/>
          <w:b/>
          <w:color w:val="1F3A68"/>
          <w:sz w:val="21"/>
        </w:rPr>
        <w:t>工作经历</w:t>
      </w:r>
    </w:p>
    <w:p>
      <w:pPr>
        <w:spacing w:before="40" w:after="20" w:line="252" w:lineRule="auto"/>
      </w:pPr>
      <w:r>
        <w:rPr>
          <w:rFonts w:ascii="微软雅黑" w:hAnsi="微软雅黑" w:eastAsia="微软雅黑"/>
          <w:b/>
          <w:color w:val="1F3A68"/>
          <w:sz w:val="19"/>
        </w:rPr>
        <w:t>京东 · 广告产研部 / 站外广告研发部　|　站外广告架构负责人（T8 / 2022 晋升 P8）</w:t>
      </w:r>
      <w:r>
        <w:rPr>
          <w:rFonts w:ascii="微软雅黑" w:hAnsi="微软雅黑" w:eastAsia="微软雅黑"/>
          <w:b w:val="0"/>
          <w:color w:val="555555"/>
          <w:sz w:val="18"/>
        </w:rPr>
        <w:t xml:space="preserve">　　2023.01 – 至今</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sz w:val="18"/>
        </w:rPr>
        <w:t>【智能算力调度，规模化降本增效】</w:t>
      </w:r>
      <w:r>
        <w:rPr>
          <w:rFonts w:ascii="微软雅黑" w:hAnsi="微软雅黑" w:eastAsia="微软雅黑"/>
          <w:b w:val="0"/>
          <w:sz w:val="18"/>
        </w:rPr>
        <w:t>主导跨 6 团队 21 人协同，构建“流量筛选 + 动态算力 + 负载反馈”全链路调度体系；首次在京东广告以 CPU 消耗实现算力可量化，结合在线/近线/离线分层闭环。</w:t>
      </w:r>
    </w:p>
    <w:p>
      <w:pPr>
        <w:spacing w:before="0" w:after="0" w:line="252" w:lineRule="auto"/>
        <w:ind w:left="454" w:hanging="227"/>
      </w:pPr>
      <w:r>
        <w:rPr>
          <w:rFonts w:ascii="微软雅黑" w:hAnsi="微软雅黑" w:eastAsia="微软雅黑"/>
          <w:b w:val="0"/>
          <w:sz w:val="18"/>
        </w:rPr>
        <w:t xml:space="preserve">• </w:t>
      </w:r>
      <w:r>
        <w:rPr>
          <w:rFonts w:ascii="微软雅黑" w:hAnsi="微软雅黑" w:eastAsia="微软雅黑"/>
          <w:b w:val="0"/>
          <w:sz w:val="18"/>
        </w:rPr>
        <w:t>成果：流量筛选节省 12 万核（−24.4%），降本 4380 万/年；直客链路算力不变收入 +16.67%（折大盘 +9.8%）；高峰可用率 99% → 99.9%，大促零人工干预。SIGIR 在投论文 1 篇（Multi-Agent RL for Adaptive Computation Allocation）。</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sz w:val="18"/>
        </w:rPr>
        <w:t>【价值驱动的性能治理体系】</w:t>
      </w:r>
      <w:r>
        <w:rPr>
          <w:rFonts w:ascii="微软雅黑" w:hAnsi="微软雅黑" w:eastAsia="微软雅黑"/>
          <w:b w:val="0"/>
          <w:sz w:val="18"/>
        </w:rPr>
        <w:t>提出“时延 - 业务收益”北极星指标，建立优化警戒线与 ROI 度量；创新长尾聚合分析方法，定位试金石/UMP/SINAN 等碎片化损耗点；落地 SIMD（avx512）、零拷贝（proto 共享）、Arena 内存、Roaring Bitmap、就近访问、RTA Java→C++ 异构融合等分层优化。</w:t>
      </w:r>
    </w:p>
    <w:p>
      <w:pPr>
        <w:spacing w:before="0" w:after="0" w:line="252" w:lineRule="auto"/>
        <w:ind w:left="454" w:hanging="227"/>
      </w:pPr>
      <w:r>
        <w:rPr>
          <w:rFonts w:ascii="微软雅黑" w:hAnsi="微软雅黑" w:eastAsia="微软雅黑"/>
          <w:b w:val="0"/>
          <w:sz w:val="18"/>
        </w:rPr>
        <w:t xml:space="preserve">• </w:t>
      </w:r>
      <w:r>
        <w:rPr>
          <w:rFonts w:ascii="微软雅黑" w:hAnsi="微软雅黑" w:eastAsia="微软雅黑"/>
          <w:b w:val="0"/>
          <w:sz w:val="18"/>
        </w:rPr>
        <w:t>成果：资源优化 8.6 万核（−17.5%），降本 3139 万/年；端到端时延累计 −46%，撬动京东播放大盘收入 +11.8%（RTB +13.78%，RTA 两阶段 +7.1%）。专利《一种多模式触发的 C++ 运行时诊断器》。</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sz w:val="18"/>
        </w:rPr>
        <w:t>【通用近在线计算架构（突破“精度-时延-成本”不可能三角）】</w:t>
      </w:r>
      <w:r>
        <w:rPr>
          <w:rFonts w:ascii="微软雅黑" w:hAnsi="微软雅黑" w:eastAsia="微软雅黑"/>
          <w:b w:val="0"/>
          <w:sz w:val="18"/>
        </w:rPr>
        <w:t>确立从“流量驱动”转向“用户行为驱动”，将复杂模型推理从在线迁移至近线；公司内首次在近线系统支持 A/B 实验（PIN 统一分流 + 预计算）；数据双版本存储 + 全局标记，支持秒级逻辑回滚；基于 Kata 容器的“潮汐混部”，复用夜间闲置算力实现数亿长尾用户 0 成本全量刷新。</w:t>
      </w:r>
    </w:p>
    <w:p>
      <w:pPr>
        <w:spacing w:before="0" w:after="0" w:line="252" w:lineRule="auto"/>
        <w:ind w:left="454" w:hanging="227"/>
      </w:pPr>
      <w:r>
        <w:rPr>
          <w:rFonts w:ascii="微软雅黑" w:hAnsi="微软雅黑" w:eastAsia="微软雅黑"/>
          <w:b w:val="0"/>
          <w:sz w:val="18"/>
        </w:rPr>
        <w:t xml:space="preserve">• </w:t>
      </w:r>
      <w:r>
        <w:rPr>
          <w:rFonts w:ascii="微软雅黑" w:hAnsi="微软雅黑" w:eastAsia="微软雅黑"/>
          <w:b w:val="0"/>
          <w:sz w:val="18"/>
        </w:rPr>
        <w:t>成果：广告中间页 RTB +16.41%、RTA +7.8%（折大盘 +4.23%）；在行云平台沉淀公司级近线服务能力，被试金石团队收录为 25 年最佳实践。专利 2 篇。</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sz w:val="18"/>
        </w:rPr>
        <w:t>【外投 Agent —— 京东首个商业化变现广告投放 Agent】</w:t>
      </w:r>
      <w:r>
        <w:rPr>
          <w:rFonts w:ascii="微软雅黑" w:hAnsi="微软雅黑" w:eastAsia="微软雅黑"/>
          <w:b w:val="0"/>
          <w:sz w:val="18"/>
        </w:rPr>
        <w:t>设计“主控 Agent + 子 Agent”协同架构与 L4 全托管 / L3 人机协同一体化模式；提出“协议优先”范式，统一创编协议，将场景接入复杂度由 O(N) 降为 O(1)，覆盖创编/选品/创意/数据/诊断/优化等子 Agent。</w:t>
      </w:r>
    </w:p>
    <w:p>
      <w:pPr>
        <w:spacing w:before="0" w:after="0" w:line="252" w:lineRule="auto"/>
        <w:ind w:left="454" w:hanging="227"/>
      </w:pPr>
      <w:r>
        <w:rPr>
          <w:rFonts w:ascii="微软雅黑" w:hAnsi="微软雅黑" w:eastAsia="微软雅黑"/>
          <w:b w:val="0"/>
          <w:sz w:val="18"/>
        </w:rPr>
        <w:t xml:space="preserve">• </w:t>
      </w:r>
      <w:r>
        <w:rPr>
          <w:rFonts w:ascii="微软雅黑" w:hAnsi="微软雅黑" w:eastAsia="微软雅黑"/>
          <w:b w:val="0"/>
          <w:sz w:val="18"/>
        </w:rPr>
        <w:t>成果：2025.07–2026.01 L4 累计带来收入 6285 万；统一协议在外投 / 市场 Agent 中复用；专利《基于动态特征网关与耦合注意力机制的广告异构属性相似性计算方法及系统》。</w:t>
      </w:r>
    </w:p>
    <w:p>
      <w:pPr>
        <w:spacing w:before="40" w:after="20" w:line="252" w:lineRule="auto"/>
      </w:pPr>
      <w:r>
        <w:rPr>
          <w:rFonts w:ascii="微软雅黑" w:hAnsi="微软雅黑" w:eastAsia="微软雅黑"/>
          <w:b/>
          <w:color w:val="1F3A68"/>
          <w:sz w:val="19"/>
        </w:rPr>
        <w:t>京东 · 广告产研部 / 技术效能部　|　广告播放基础架构负责人（T5 → T8）</w:t>
      </w:r>
      <w:r>
        <w:rPr>
          <w:rFonts w:ascii="微软雅黑" w:hAnsi="微软雅黑" w:eastAsia="微软雅黑"/>
          <w:b w:val="0"/>
          <w:color w:val="555555"/>
          <w:sz w:val="18"/>
        </w:rPr>
        <w:t xml:space="preserve">　　2018.04 – 2023.01</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sz w:val="18"/>
        </w:rPr>
        <w:t>广告播放平台 atls 组件化与平台化</w:t>
      </w:r>
      <w:r>
        <w:rPr>
          <w:rFonts w:ascii="微软雅黑" w:hAnsi="微软雅黑" w:eastAsia="微软雅黑"/>
          <w:b w:val="0"/>
          <w:sz w:val="18"/>
        </w:rPr>
        <w:t>：DAG 调度 → 多维参数管理 → atls 平台 → AnyLocal 传参框架 → AtlsRt（ServiceMesh 思想，数据面/控制面/无效资源检测），全业务线落地。</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sz w:val="18"/>
        </w:rPr>
        <w:t>Session 日志中心</w:t>
      </w:r>
      <w:r>
        <w:rPr>
          <w:rFonts w:ascii="微软雅黑" w:hAnsi="微软雅黑" w:eastAsia="微软雅黑"/>
          <w:b w:val="0"/>
          <w:sz w:val="18"/>
        </w:rPr>
        <w:t>：站外广告全面落地，5000 亿对象/天，扩缩容秒级生效（已授权专利《基于时间槽的数据分片与路由方案》）。</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sz w:val="18"/>
        </w:rPr>
        <w:t>服务质量与稳定性</w:t>
      </w:r>
      <w:r>
        <w:rPr>
          <w:rFonts w:ascii="微软雅黑" w:hAnsi="微软雅黑" w:eastAsia="微软雅黑"/>
          <w:b w:val="0"/>
          <w:sz w:val="18"/>
        </w:rPr>
        <w:t>：任务调度 → jemalloc → BRPC → 负载均衡 → 性能优化（Arena/SIMD/并行/无锁化/柯里化），高压下从秒级降至毫秒级，杜绝雪崩；基于下游负载感知的负载均衡算法（RALB）调度百万核集群，吞吐 +13–16%，节省 10 万+ 核，沉淀为京东广告基础设施。</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sz w:val="18"/>
        </w:rPr>
        <w:t>研发效能工具链</w:t>
      </w:r>
      <w:r>
        <w:rPr>
          <w:rFonts w:ascii="微软雅黑" w:hAnsi="微软雅黑" w:eastAsia="微软雅黑"/>
          <w:b w:val="0"/>
          <w:sz w:val="18"/>
        </w:rPr>
        <w:t>：包管理 / Resource Analysis / Online Profiling / 事件中心 / 词表中心，广告全面落地、部分推广至零售；Online Profiling 自动发现野指针、内存泄漏、突变等问题。</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sz w:val="18"/>
        </w:rPr>
        <w:t>业务架构</w:t>
      </w:r>
      <w:r>
        <w:rPr>
          <w:rFonts w:ascii="微软雅黑" w:hAnsi="微软雅黑" w:eastAsia="微软雅黑"/>
          <w:b w:val="0"/>
          <w:sz w:val="18"/>
        </w:rPr>
        <w:t>：两阶 RTA 吞吐 ×3；TraceLog 智慧运营驱动广告诊断与投放策略建议。</w:t>
      </w:r>
    </w:p>
    <w:p>
      <w:pPr>
        <w:spacing w:before="40" w:after="20" w:line="252" w:lineRule="auto"/>
      </w:pPr>
      <w:r>
        <w:rPr>
          <w:rFonts w:ascii="微软雅黑" w:hAnsi="微软雅黑" w:eastAsia="微软雅黑"/>
          <w:b/>
          <w:color w:val="1F3A68"/>
          <w:sz w:val="19"/>
        </w:rPr>
        <w:t>蓝港互动 / 网元圣唐　|　主程 / 服务器组长 / 服务器开发（MMORPG · 卡牌）</w:t>
      </w:r>
      <w:r>
        <w:rPr>
          <w:rFonts w:ascii="微软雅黑" w:hAnsi="微软雅黑" w:eastAsia="微软雅黑"/>
          <w:b w:val="0"/>
          <w:color w:val="555555"/>
          <w:sz w:val="18"/>
        </w:rPr>
        <w:t xml:space="preserve">　　2013.10 – 2018.02</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val="0"/>
          <w:sz w:val="18"/>
        </w:rPr>
        <w:t>代表项目：《捉妖记》《蜀山战纪之剑侠传奇》《甄嬛传》《大闹天宫》《神舞幻想》等，负责服务端架构与核心模块研发。</w:t>
      </w:r>
    </w:p>
    <w:p>
      <w:pPr>
        <w:spacing w:before="80" w:after="40" w:line="240" w:lineRule="auto"/>
        <w:pBdr>
          <w:bottom w:val="single" w:sz="6" w:space="1" w:color="1F3A68"/>
        </w:pBdr>
      </w:pPr>
      <w:r>
        <w:rPr>
          <w:rFonts w:ascii="微软雅黑" w:hAnsi="微软雅黑" w:eastAsia="微软雅黑"/>
          <w:b/>
          <w:color w:val="1F3A68"/>
          <w:sz w:val="21"/>
        </w:rPr>
        <w:t>技术沉淀与团队</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sz w:val="18"/>
        </w:rPr>
        <w:t>技术产出：</w:t>
      </w:r>
      <w:r>
        <w:rPr>
          <w:rFonts w:ascii="微软雅黑" w:hAnsi="微软雅黑" w:eastAsia="微软雅黑"/>
          <w:b w:val="0"/>
          <w:sz w:val="18"/>
        </w:rPr>
        <w:t>SIGIR 在投论文 1 篇；专利 6 篇（1 篇授权、3 篇审查、2 篇综合评审通过）；开源贡献 CGraph（DAG 框架）Contributor。</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sz w:val="18"/>
        </w:rPr>
        <w:t>人才培养：</w:t>
      </w:r>
      <w:r>
        <w:rPr>
          <w:rFonts w:ascii="微软雅黑" w:hAnsi="微软雅黑" w:eastAsia="微软雅黑"/>
          <w:b w:val="0"/>
          <w:sz w:val="18"/>
        </w:rPr>
        <w:t>带教 JDS / JDY 共 5 人，覆盖性能优化、外投 Agent、缓存组件、编译工具升级（blade→bazel，效率 +80%）等方向。</w:t>
      </w:r>
    </w:p>
    <w:p>
      <w:pPr>
        <w:spacing w:before="0" w:after="0" w:line="252" w:lineRule="auto"/>
        <w:ind w:left="227" w:hanging="227"/>
      </w:pPr>
      <w:r>
        <w:rPr>
          <w:rFonts w:ascii="微软雅黑" w:hAnsi="微软雅黑" w:eastAsia="微软雅黑"/>
          <w:b w:val="0"/>
          <w:sz w:val="18"/>
        </w:rPr>
        <w:t xml:space="preserve">• </w:t>
      </w:r>
      <w:r>
        <w:rPr>
          <w:rFonts w:ascii="微软雅黑" w:hAnsi="微软雅黑" w:eastAsia="微软雅黑"/>
          <w:b/>
          <w:sz w:val="18"/>
        </w:rPr>
        <w:t>技术栈：</w:t>
      </w:r>
      <w:r>
        <w:rPr>
          <w:rFonts w:ascii="微软雅黑" w:hAnsi="微软雅黑" w:eastAsia="微软雅黑"/>
          <w:b w:val="0"/>
          <w:sz w:val="18"/>
        </w:rPr>
        <w:t>C++ / Java / Go，BRPC、Flink、Kata、ServiceMesh、强化学习与 LLM Agent 工程化、广告召回/精排/RTA 架构。</w:t>
      </w:r>
    </w:p>
    <w:sectPr w:rsidR="00FC693F" w:rsidRPr="0006063C" w:rsidSect="00034616">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