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r>
    </w:p>
    <w:p>
      <w:pPr>
        <w:pStyle w:val="Heading5"/>
      </w:pPr>
      <w:r>
        <w:t>Heading Before</w:t>
        <w:br/>
        <w:drawing>
          <wp:inline xmlns:a="http://schemas.openxmlformats.org/drawingml/2006/main" xmlns:pic="http://schemas.openxmlformats.org/drawingml/2006/picture">
            <wp:extent cx="3556000" cy="3556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556000" cy="3556000"/>
                    </a:xfrm>
                    <a:prstGeom prst="rect"/>
                  </pic:spPr>
                </pic:pic>
              </a:graphicData>
            </a:graphic>
          </wp:inline>
        </w:drawing>
        <w:br/>
      </w:r>
    </w:p>
    <w:p>
      <w:r/>
    </w:p>
    <w:p>
      <w:pPr>
        <w:pStyle w:val="Heading4"/>
      </w:pPr>
      <w:r>
        <w:t>Heading After</w:t>
      </w:r>
    </w:p>
    <w:p>
      <w:r>
        <w:t>end</w:t>
      </w:r>
    </w:p>
    <w:p>
      <w:r>
        <w:br w:type="page"/>
      </w:r>
    </w:p>
    <w:p>
      <w:pPr>
        <w:pStyle w:val="Heading2"/>
      </w:pPr>
      <w:r>
        <w:t>Medium Risk Findings</w:t>
      </w:r>
    </w:p>
    <w:p>
      <w:pPr>
        <w:pStyle w:val="Heading3"/>
      </w:pPr>
      <w:r>
        <w:t>Appendix Test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