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300"/>
      </w:pPr>
      <w:r>
        <w:rPr>
          <w:rFonts w:ascii="Aptos" w:cs="Aptos" w:eastAsia="Aptos" w:hAnsi="Aptos"/>
          <w:b/>
          <w:bCs/>
          <w:color w:val="7CB518"/>
          <w:sz w:val="128"/>
          <w:szCs w:val="128"/>
        </w:rPr>
        <w:t xml:space="preserve">Cirq</w:t>
      </w:r>
    </w:p>
    <w:p>
      <w:pPr>
        <w:spacing w:after="30"/>
      </w:pPr>
      <w:r>
        <w:rPr>
          <w:rFonts w:ascii="Aptos" w:cs="Aptos" w:eastAsia="Aptos" w:hAnsi="Aptos"/>
          <w:b/>
          <w:bCs/>
          <w:color w:val="1A1F16"/>
          <w:sz w:val="46"/>
          <w:szCs w:val="46"/>
        </w:rPr>
        <w:t xml:space="preserve">Frontend &amp; UX Plan</w:t>
      </w:r>
    </w:p>
    <w:p>
      <w:pPr>
        <w:pBdr>
          <w:bottom w:val="single" w:color="7CB518" w:sz="20"/>
        </w:pBdr>
        <w:spacing w:after="300"/>
      </w:pPr>
      <w:r>
        <w:rPr>
          <w:rFonts w:ascii="Aptos" w:cs="Aptos" w:eastAsia="Aptos" w:hAnsi="Aptos"/>
          <w:i/>
          <w:iCs/>
          <w:color w:val="5A6152"/>
          <w:sz w:val="24"/>
          <w:szCs w:val="24"/>
        </w:rPr>
        <w:t xml:space="preserve">The liquid app-in-a-browser — bringing a real app UI to the web</w:t>
      </w:r>
    </w:p>
    <w:p>
      <w:pPr>
        <w:spacing w:after="120" w:line="276"/>
      </w:pPr>
      <w:r>
        <w:rPr>
          <w:rFonts w:ascii="Aptos" w:cs="Aptos" w:eastAsia="Aptos" w:hAnsi="Aptos"/>
          <w:color w:val="1A1F16"/>
          <w:sz w:val="21"/>
          <w:szCs w:val="21"/>
        </w:rPr>
        <w:t xml:space="preserve">A standalone build spec for Cirq's interface: the design language, the screen-by-screen breakdown, the component architecture, the motion system, and the wallet/agent UX. Extracted and expanded from the v2 architecture plan.</w:t>
      </w:r>
    </w:p>
    <w:p>
      <w:pPr>
        <w:spacing w:after="160"/>
      </w:pPr>
    </w:p>
    <w:tbl>
      <w:tblPr>
        <w:tblW w:type="pct" w:w="100%"/>
        <w:tblBorders>
          <w:top w:val="single" w:color="7CB518" w:sz="2"/>
          <w:left w:val="single" w:color="7CB518" w:sz="18"/>
          <w:bottom w:val="single" w:color="7CB518" w:sz="2"/>
          <w:right w:val="single" w:color="7CB518" w:sz="2"/>
          <w:insideH w:val="none"/>
          <w:insideV w:val="none"/>
        </w:tblBorders>
      </w:tblPr>
      <w:tblGrid>
        <w:gridCol w:w="100"/>
      </w:tblGrid>
      <w:tr>
        <w:tc>
          <w:tcPr>
            <w:shd w:fill="F2F6EA" w:val="clear"/>
            <w:tcMar>
              <w:top w:type="dxa" w:w="120"/>
              <w:left w:type="dxa" w:w="200"/>
              <w:bottom w:type="dxa" w:w="120"/>
              <w:right w:type="dxa" w:w="160"/>
            </w:tcMar>
          </w:tcPr>
          <w:p>
            <w:pPr>
              <w:spacing w:after="60"/>
            </w:pPr>
            <w:r>
              <w:rPr>
                <w:rFonts w:ascii="Aptos" w:cs="Aptos" w:eastAsia="Aptos" w:hAnsi="Aptos"/>
                <w:b/>
                <w:bCs/>
                <w:color w:val="7CB518"/>
                <w:sz w:val="20"/>
                <w:szCs w:val="20"/>
              </w:rPr>
              <w:t xml:space="preserve">The one thing to get right</w:t>
            </w:r>
          </w:p>
          <w:p>
            <w:pPr>
              <w:spacing w:after="40" w:line="264"/>
            </w:pPr>
            <w:r>
              <w:rPr>
                <w:rFonts w:ascii="Aptos" w:cs="Aptos" w:eastAsia="Aptos" w:hAnsi="Aptos"/>
                <w:color w:val="1A1F16"/>
                <w:sz w:val="20"/>
                <w:szCs w:val="20"/>
              </w:rPr>
              <w:t xml:space="preserve">Cirq should feel like a native app that happens to live in a browser — glossy liquid white and lemon-green, 3D glass surfaces, fluid motion — but the boldness is </w:t>
            </w:r>
            <w:r>
              <w:rPr>
                <w:rFonts w:ascii="Aptos" w:cs="Aptos" w:eastAsia="Aptos" w:hAnsi="Aptos"/>
                <w:b/>
                <w:bCs/>
                <w:color w:val="1A1F16"/>
                <w:sz w:val="20"/>
                <w:szCs w:val="20"/>
              </w:rPr>
              <w:t xml:space="preserve">concentrated</w:t>
            </w:r>
            <w:r>
              <w:rPr>
                <w:rFonts w:ascii="Aptos" w:cs="Aptos" w:eastAsia="Aptos" w:hAnsi="Aptos"/>
                <w:color w:val="1A1F16"/>
                <w:sz w:val="20"/>
                <w:szCs w:val="20"/>
              </w:rPr>
              <w:t xml:space="preserve">, not sprayed everywhere. The liquid moments live in the hero and the loop visualizer. Everything else stays quiet, fast, and legible so the money data is never fighting the decoration.</w:t>
            </w:r>
          </w:p>
        </w:tc>
      </w:tr>
    </w:tbl>
    <w:p>
      <w:pPr>
        <w:spacing w:after="120"/>
      </w:pPr>
    </w:p>
    <w:p>
      <w:pPr>
        <w:spacing w:after="120" w:line="276"/>
      </w:pPr>
      <w:r>
        <w:rPr>
          <w:rFonts w:ascii="Aptos" w:cs="Aptos" w:eastAsia="Aptos" w:hAnsi="Aptos"/>
          <w:color w:val="5A6152"/>
          <w:sz w:val="18"/>
          <w:szCs w:val="18"/>
        </w:rPr>
        <w:t xml:space="preserve">Companion to </w:t>
      </w:r>
      <w:r>
        <w:rPr>
          <w:rFonts w:ascii="Aptos" w:cs="Aptos" w:eastAsia="Aptos" w:hAnsi="Aptos"/>
          <w:i/>
          <w:iCs/>
          <w:color w:val="5A6152"/>
          <w:sz w:val="18"/>
          <w:szCs w:val="18"/>
        </w:rPr>
        <w:t xml:space="preserve">Cirq — Architecture &amp; Build Plan v2</w:t>
      </w:r>
      <w:r>
        <w:rPr>
          <w:rFonts w:ascii="Aptos" w:cs="Aptos" w:eastAsia="Aptos" w:hAnsi="Aptos"/>
          <w:color w:val="5A6152"/>
          <w:sz w:val="18"/>
          <w:szCs w:val="18"/>
        </w:rPr>
        <w:t xml:space="preserve">  ·  September 16, 2026</w:t>
      </w:r>
    </w:p>
    <w:p>
      <w:r>
        <w:br w:type="page"/>
      </w:r>
    </w:p>
    <w:p>
      <w:pPr>
        <w:pStyle w:val="Heading1"/>
        <w:spacing w:after="140" w:before="360"/>
      </w:pPr>
      <w:r>
        <w:rPr>
          <w:rFonts w:ascii="Aptos" w:cs="Aptos" w:eastAsia="Aptos" w:hAnsi="Aptos"/>
          <w:b/>
          <w:bCs/>
          <w:color w:val="4A7A0F"/>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60"/>
      </w:pPr>
      <w:r>
        <w:rPr>
          <w:rFonts w:ascii="Aptos" w:cs="Aptos" w:eastAsia="Aptos" w:hAnsi="Aptos"/>
          <w:b/>
          <w:bCs/>
          <w:color w:val="4A7A0F"/>
        </w:rPr>
        <w:t xml:space="preserve">1.  Design principles</w:t>
      </w:r>
    </w:p>
    <w:p>
      <w:pPr>
        <w:spacing w:after="120" w:line="276"/>
      </w:pPr>
      <w:r>
        <w:rPr>
          <w:rFonts w:ascii="Aptos" w:cs="Aptos" w:eastAsia="Aptos" w:hAnsi="Aptos"/>
          <w:color w:val="1A1F16"/>
          <w:sz w:val="21"/>
          <w:szCs w:val="21"/>
        </w:rPr>
        <w:t xml:space="preserve">Five rules that keep the interface distinctive without tipping into gimmick. Every screen decision should trace back to one of these.</w:t>
      </w:r>
    </w:p>
    <w:p>
      <w:pPr>
        <w:pStyle w:val="ListParagraph"/>
        <w:numPr>
          <w:ilvl w:val="0"/>
          <w:numId w:val="2"/>
        </w:numPr>
        <w:spacing w:after="80" w:line="268"/>
      </w:pPr>
      <w:r>
        <w:rPr>
          <w:rFonts w:ascii="Aptos" w:cs="Aptos" w:eastAsia="Aptos" w:hAnsi="Aptos"/>
          <w:b/>
          <w:bCs/>
          <w:color w:val="1A1F16"/>
          <w:sz w:val="21"/>
          <w:szCs w:val="21"/>
        </w:rPr>
        <w:t xml:space="preserve">Liquid, but disciplined. </w:t>
      </w:r>
      <w:r>
        <w:rPr>
          <w:rFonts w:ascii="Aptos" w:cs="Aptos" w:eastAsia="Aptos" w:hAnsi="Aptos"/>
          <w:color w:val="1A1F16"/>
          <w:sz w:val="21"/>
          <w:szCs w:val="21"/>
        </w:rPr>
        <w:t xml:space="preserve">The water-like motion is the signature — so it appears rarely and deliberately. One orchestrated hero moment and one loop-visualizer treatment read as premium; the same effect on every card reads as generated.</w:t>
      </w:r>
    </w:p>
    <w:p>
      <w:pPr>
        <w:pStyle w:val="ListParagraph"/>
        <w:numPr>
          <w:ilvl w:val="0"/>
          <w:numId w:val="2"/>
        </w:numPr>
        <w:spacing w:after="80" w:line="268"/>
      </w:pPr>
      <w:r>
        <w:rPr>
          <w:rFonts w:ascii="Aptos" w:cs="Aptos" w:eastAsia="Aptos" w:hAnsi="Aptos"/>
          <w:b/>
          <w:bCs/>
          <w:color w:val="1A1F16"/>
          <w:sz w:val="21"/>
          <w:szCs w:val="21"/>
        </w:rPr>
        <w:t xml:space="preserve">Glass over depth. </w:t>
      </w:r>
      <w:r>
        <w:rPr>
          <w:rFonts w:ascii="Aptos" w:cs="Aptos" w:eastAsia="Aptos" w:hAnsi="Aptos"/>
          <w:color w:val="1A1F16"/>
          <w:sz w:val="21"/>
          <w:szCs w:val="21"/>
        </w:rPr>
        <w:t xml:space="preserve">Surfaces are frosted glass floating over a soft-lit canvas. Hierarchy comes from blur, elevation, and light — not from boxes and borders.</w:t>
      </w:r>
    </w:p>
    <w:p>
      <w:pPr>
        <w:pStyle w:val="ListParagraph"/>
        <w:numPr>
          <w:ilvl w:val="0"/>
          <w:numId w:val="2"/>
        </w:numPr>
        <w:spacing w:after="80" w:line="268"/>
      </w:pPr>
      <w:r>
        <w:rPr>
          <w:rFonts w:ascii="Aptos" w:cs="Aptos" w:eastAsia="Aptos" w:hAnsi="Aptos"/>
          <w:b/>
          <w:bCs/>
          <w:color w:val="1A1F16"/>
          <w:sz w:val="21"/>
          <w:szCs w:val="21"/>
        </w:rPr>
        <w:t xml:space="preserve">The data never fights the decoration. </w:t>
      </w:r>
      <w:r>
        <w:rPr>
          <w:rFonts w:ascii="Aptos" w:cs="Aptos" w:eastAsia="Aptos" w:hAnsi="Aptos"/>
          <w:color w:val="1A1F16"/>
          <w:sz w:val="21"/>
          <w:szCs w:val="21"/>
        </w:rPr>
        <w:t xml:space="preserve">Health factors, APYs, and liquidation buffers are the point. When a number matters, the surface around it goes calm.</w:t>
      </w:r>
    </w:p>
    <w:p>
      <w:pPr>
        <w:pStyle w:val="ListParagraph"/>
        <w:numPr>
          <w:ilvl w:val="0"/>
          <w:numId w:val="2"/>
        </w:numPr>
        <w:spacing w:after="80" w:line="268"/>
      </w:pPr>
      <w:r>
        <w:rPr>
          <w:rFonts w:ascii="Aptos" w:cs="Aptos" w:eastAsia="Aptos" w:hAnsi="Aptos"/>
          <w:b/>
          <w:bCs/>
          <w:color w:val="1A1F16"/>
          <w:sz w:val="21"/>
          <w:szCs w:val="21"/>
        </w:rPr>
        <w:t xml:space="preserve">Honest surfaces. </w:t>
      </w:r>
      <w:r>
        <w:rPr>
          <w:rFonts w:ascii="Aptos" w:cs="Aptos" w:eastAsia="Aptos" w:hAnsi="Aptos"/>
          <w:color w:val="1A1F16"/>
          <w:sz w:val="21"/>
          <w:szCs w:val="21"/>
        </w:rPr>
        <w:t xml:space="preserve">Risk, legitimacy scores, and “what can go wrong” are shown, never buried. The UI's job is trust on a chain with a real rug-pull record.</w:t>
      </w:r>
    </w:p>
    <w:p>
      <w:pPr>
        <w:pStyle w:val="ListParagraph"/>
        <w:numPr>
          <w:ilvl w:val="0"/>
          <w:numId w:val="2"/>
        </w:numPr>
        <w:spacing w:after="80" w:line="268"/>
      </w:pPr>
      <w:r>
        <w:rPr>
          <w:rFonts w:ascii="Aptos" w:cs="Aptos" w:eastAsia="Aptos" w:hAnsi="Aptos"/>
          <w:b/>
          <w:bCs/>
          <w:color w:val="1A1F16"/>
          <w:sz w:val="21"/>
          <w:szCs w:val="21"/>
        </w:rPr>
        <w:t xml:space="preserve">App-native gestures. </w:t>
      </w:r>
      <w:r>
        <w:rPr>
          <w:rFonts w:ascii="Aptos" w:cs="Aptos" w:eastAsia="Aptos" w:hAnsi="Aptos"/>
          <w:color w:val="1A1F16"/>
          <w:sz w:val="21"/>
          <w:szCs w:val="21"/>
        </w:rPr>
        <w:t xml:space="preserve">Bottom sheets, swipe, spring physics, optimistic states. It should feel like something you'd install, not a marketing site with a connect button.</w:t>
      </w:r>
    </w:p>
    <w:p>
      <w:pPr>
        <w:spacing w:after="60"/>
      </w:pPr>
    </w:p>
    <w:tbl>
      <w:tblPr>
        <w:tblW w:type="pct" w:w="100%"/>
        <w:tblBorders>
          <w:top w:val="single" w:color="C08A1E" w:sz="2"/>
          <w:left w:val="single" w:color="C08A1E" w:sz="18"/>
          <w:bottom w:val="single" w:color="C08A1E" w:sz="2"/>
          <w:right w:val="single" w:color="C08A1E" w:sz="2"/>
          <w:insideH w:val="none"/>
          <w:insideV w:val="none"/>
        </w:tblBorders>
      </w:tblPr>
      <w:tblGrid>
        <w:gridCol w:w="100"/>
      </w:tblGrid>
      <w:tr>
        <w:tc>
          <w:tcPr>
            <w:shd w:fill="FBEED0" w:val="clear"/>
            <w:tcMar>
              <w:top w:type="dxa" w:w="120"/>
              <w:left w:type="dxa" w:w="200"/>
              <w:bottom w:type="dxa" w:w="120"/>
              <w:right w:type="dxa" w:w="160"/>
            </w:tcMar>
          </w:tcPr>
          <w:p>
            <w:pPr>
              <w:spacing w:after="60"/>
            </w:pPr>
            <w:r>
              <w:rPr>
                <w:rFonts w:ascii="Aptos" w:cs="Aptos" w:eastAsia="Aptos" w:hAnsi="Aptos"/>
                <w:b/>
                <w:bCs/>
                <w:color w:val="C08A1E"/>
                <w:sz w:val="20"/>
                <w:szCs w:val="20"/>
              </w:rPr>
              <w:t xml:space="preserve">Anti-goals</w:t>
            </w:r>
          </w:p>
          <w:p>
            <w:pPr>
              <w:spacing w:after="40" w:line="264"/>
            </w:pPr>
            <w:r>
              <w:rPr>
                <w:rFonts w:ascii="Aptos" w:cs="Aptos" w:eastAsia="Aptos" w:hAnsi="Aptos"/>
                <w:color w:val="1A1F16"/>
                <w:sz w:val="20"/>
                <w:szCs w:val="20"/>
              </w:rPr>
              <w:t xml:space="preserve">No scattered fade-and-slide-up on every section. No identical rounded cards with the same grey shadow. No all-caps eyebrow labels above every heading. No gradient washes used purely as decoration. These are the tells of a templated page — Cirq earns its look from the liquid-glass material and the green glow, not from stock layout chrome.</w:t>
            </w:r>
          </w:p>
        </w:tc>
      </w:tr>
    </w:tbl>
    <w:p>
      <w:r>
        <w:br w:type="page"/>
      </w:r>
    </w:p>
    <w:p>
      <w:pPr>
        <w:pStyle w:val="Heading1"/>
        <w:spacing w:after="140" w:before="360"/>
      </w:pPr>
      <w:r>
        <w:rPr>
          <w:rFonts w:ascii="Aptos" w:cs="Aptos" w:eastAsia="Aptos" w:hAnsi="Aptos"/>
          <w:b/>
          <w:bCs/>
          <w:color w:val="4A7A0F"/>
        </w:rPr>
        <w:t xml:space="preserve">2.  Design tokens</w:t>
      </w:r>
    </w:p>
    <w:p>
      <w:pPr>
        <w:spacing w:after="120" w:line="276"/>
      </w:pPr>
      <w:r>
        <w:rPr>
          <w:rFonts w:ascii="Aptos" w:cs="Aptos" w:eastAsia="Aptos" w:hAnsi="Aptos"/>
          <w:color w:val="1A1F16"/>
          <w:sz w:val="21"/>
          <w:szCs w:val="21"/>
        </w:rPr>
        <w:t xml:space="preserve">The full token set to drop into Tailwind config / CSS variables. Colors first, then the rest of the system.</w:t>
      </w:r>
    </w:p>
    <w:p>
      <w:pPr>
        <w:pStyle w:val="Heading2"/>
        <w:spacing w:after="100" w:before="260"/>
      </w:pPr>
      <w:r>
        <w:rPr>
          <w:rFonts w:ascii="Aptos" w:cs="Aptos" w:eastAsia="Aptos" w:hAnsi="Aptos"/>
          <w:b/>
          <w:bCs/>
          <w:color w:val="1A1F16"/>
        </w:rPr>
        <w:t xml:space="preserve">2.1  Color</w:t>
      </w:r>
    </w:p>
    <w:tbl>
      <w:tblPr>
        <w:tblW w:type="dxa" w:w="9360"/>
        <w:tblBorders>
          <w:top w:val="single" w:color="D8E0C8" w:sz="2"/>
          <w:left w:val="none"/>
          <w:bottom w:val="single" w:color="D8E0C8" w:sz="2"/>
          <w:right w:val="none"/>
          <w:insideH w:val="single" w:color="E4EAD6" w:sz="2"/>
          <w:insideV w:val="single" w:color="E4EAD6" w:sz="2"/>
        </w:tblBorders>
      </w:tblPr>
      <w:tblGrid>
        <w:gridCol w:w="2246"/>
        <w:gridCol w:w="3182"/>
        <w:gridCol w:w="3931"/>
      </w:tblGrid>
      <w:tr>
        <w:trPr>
          <w:tblHeader/>
        </w:trPr>
        <w:tc>
          <w:tcPr>
            <w:tcW w:type="dxa" w:w="2246"/>
            <w:shd w:fill="4A7A0F" w:val="clear"/>
            <w:tcMar>
              <w:top w:type="dxa" w:w="70"/>
              <w:left w:type="dxa" w:w="110"/>
              <w:bottom w:type="dxa" w:w="70"/>
              <w:right w:type="dxa" w:w="110"/>
            </w:tcMar>
          </w:tcPr>
          <w:p>
            <w:r>
              <w:rPr>
                <w:rFonts w:ascii="Aptos" w:cs="Aptos" w:eastAsia="Aptos" w:hAnsi="Aptos"/>
                <w:b/>
                <w:bCs/>
                <w:color w:val="FFFFFF"/>
                <w:sz w:val="19"/>
                <w:szCs w:val="19"/>
              </w:rPr>
              <w:t xml:space="preserve">Token</w:t>
            </w:r>
          </w:p>
        </w:tc>
        <w:tc>
          <w:tcPr>
            <w:tcW w:type="dxa" w:w="3182"/>
            <w:shd w:fill="4A7A0F" w:val="clear"/>
            <w:tcMar>
              <w:top w:type="dxa" w:w="70"/>
              <w:left w:type="dxa" w:w="110"/>
              <w:bottom w:type="dxa" w:w="70"/>
              <w:right w:type="dxa" w:w="110"/>
            </w:tcMar>
          </w:tcPr>
          <w:p>
            <w:r>
              <w:rPr>
                <w:rFonts w:ascii="Aptos" w:cs="Aptos" w:eastAsia="Aptos" w:hAnsi="Aptos"/>
                <w:b/>
                <w:bCs/>
                <w:color w:val="FFFFFF"/>
                <w:sz w:val="19"/>
                <w:szCs w:val="19"/>
              </w:rPr>
              <w:t xml:space="preserve">Value</w:t>
            </w:r>
          </w:p>
        </w:tc>
        <w:tc>
          <w:tcPr>
            <w:tcW w:type="dxa" w:w="3931"/>
            <w:shd w:fill="4A7A0F" w:val="clear"/>
            <w:tcMar>
              <w:top w:type="dxa" w:w="70"/>
              <w:left w:type="dxa" w:w="110"/>
              <w:bottom w:type="dxa" w:w="70"/>
              <w:right w:type="dxa" w:w="110"/>
            </w:tcMar>
          </w:tcPr>
          <w:p>
            <w:r>
              <w:rPr>
                <w:rFonts w:ascii="Aptos" w:cs="Aptos" w:eastAsia="Aptos" w:hAnsi="Aptos"/>
                <w:b/>
                <w:bCs/>
                <w:color w:val="FFFFFF"/>
                <w:sz w:val="19"/>
                <w:szCs w:val="19"/>
              </w:rPr>
              <w:t xml:space="preserve">Use</w:t>
            </w:r>
          </w:p>
        </w:tc>
      </w:tr>
      <w:tr>
        <w:tc>
          <w:tcPr>
            <w:tcW w:type="dxa" w:w="2246"/>
            <w:shd w:fill="F2F6EA" w:val="clear"/>
            <w:tcMar>
              <w:top w:type="dxa" w:w="60"/>
              <w:left w:type="dxa" w:w="110"/>
              <w:bottom w:type="dxa" w:w="60"/>
              <w:right w:type="dxa" w:w="110"/>
            </w:tcMar>
          </w:tcPr>
          <w:p>
            <w:pPr>
              <w:spacing w:after="20" w:line="252"/>
            </w:pPr>
            <w:r>
              <w:rPr>
                <w:rFonts w:ascii="Consolas" w:cs="Consolas" w:eastAsia="Consolas" w:hAnsi="Consolas"/>
                <w:color w:val="2A3320"/>
                <w:sz w:val="19"/>
                <w:szCs w:val="19"/>
              </w:rPr>
              <w:t xml:space="preserve">--lime</w:t>
            </w:r>
          </w:p>
        </w:tc>
        <w:tc>
          <w:tcPr>
            <w:tcW w:type="dxa" w:w="3182"/>
            <w:shd w:fill="F2F6EA"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#7CB518 → #AEE04A</w:t>
            </w:r>
          </w:p>
        </w:tc>
        <w:tc>
          <w:tcPr>
            <w:tcW w:type="dxa" w:w="3931"/>
            <w:shd w:fill="F2F6EA"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Primary accent gradient; hero, CTAs, active states</w:t>
            </w:r>
          </w:p>
        </w:tc>
      </w:tr>
      <w:tr>
        <w:tc>
          <w:tcPr>
            <w:tcW w:type="dxa" w:w="2246"/>
            <w:shd w:fill="FFFFFF" w:val="clear"/>
            <w:tcMar>
              <w:top w:type="dxa" w:w="60"/>
              <w:left w:type="dxa" w:w="110"/>
              <w:bottom w:type="dxa" w:w="60"/>
              <w:right w:type="dxa" w:w="110"/>
            </w:tcMar>
          </w:tcPr>
          <w:p>
            <w:pPr>
              <w:spacing w:after="20" w:line="252"/>
            </w:pPr>
            <w:r>
              <w:rPr>
                <w:rFonts w:ascii="Consolas" w:cs="Consolas" w:eastAsia="Consolas" w:hAnsi="Consolas"/>
                <w:color w:val="2A3320"/>
                <w:sz w:val="19"/>
                <w:szCs w:val="19"/>
              </w:rPr>
              <w:t xml:space="preserve">--lime-glow</w:t>
            </w:r>
          </w:p>
        </w:tc>
        <w:tc>
          <w:tcPr>
            <w:tcW w:type="dxa" w:w="3182"/>
            <w:shd w:fill="FFFFFF"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#AEE04A @ 40% blur</w:t>
            </w:r>
          </w:p>
        </w:tc>
        <w:tc>
          <w:tcPr>
            <w:tcW w:type="dxa" w:w="3931"/>
            <w:shd w:fill="FFFFFF"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Glow behind the logo, active loop nodes</w:t>
            </w:r>
          </w:p>
        </w:tc>
      </w:tr>
      <w:tr>
        <w:tc>
          <w:tcPr>
            <w:tcW w:type="dxa" w:w="2246"/>
            <w:shd w:fill="F2F6EA" w:val="clear"/>
            <w:tcMar>
              <w:top w:type="dxa" w:w="60"/>
              <w:left w:type="dxa" w:w="110"/>
              <w:bottom w:type="dxa" w:w="60"/>
              <w:right w:type="dxa" w:w="110"/>
            </w:tcMar>
          </w:tcPr>
          <w:p>
            <w:pPr>
              <w:spacing w:after="20" w:line="252"/>
            </w:pPr>
            <w:r>
              <w:rPr>
                <w:rFonts w:ascii="Consolas" w:cs="Consolas" w:eastAsia="Consolas" w:hAnsi="Consolas"/>
                <w:color w:val="2A3320"/>
                <w:sz w:val="19"/>
                <w:szCs w:val="19"/>
              </w:rPr>
              <w:t xml:space="preserve">--deep-lime</w:t>
            </w:r>
          </w:p>
        </w:tc>
        <w:tc>
          <w:tcPr>
            <w:tcW w:type="dxa" w:w="3182"/>
            <w:shd w:fill="F2F6EA"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#4A7A0F</w:t>
            </w:r>
          </w:p>
        </w:tc>
        <w:tc>
          <w:tcPr>
            <w:tcW w:type="dxa" w:w="3931"/>
            <w:shd w:fill="F2F6EA"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Headings, pressed states, text on white</w:t>
            </w:r>
          </w:p>
        </w:tc>
      </w:tr>
      <w:tr>
        <w:tc>
          <w:tcPr>
            <w:tcW w:type="dxa" w:w="2246"/>
            <w:shd w:fill="FFFFFF" w:val="clear"/>
            <w:tcMar>
              <w:top w:type="dxa" w:w="60"/>
              <w:left w:type="dxa" w:w="110"/>
              <w:bottom w:type="dxa" w:w="60"/>
              <w:right w:type="dxa" w:w="110"/>
            </w:tcMar>
          </w:tcPr>
          <w:p>
            <w:pPr>
              <w:spacing w:after="20" w:line="252"/>
            </w:pPr>
            <w:r>
              <w:rPr>
                <w:rFonts w:ascii="Consolas" w:cs="Consolas" w:eastAsia="Consolas" w:hAnsi="Consolas"/>
                <w:color w:val="2A3320"/>
                <w:sz w:val="19"/>
                <w:szCs w:val="19"/>
              </w:rPr>
              <w:t xml:space="preserve">--glass</w:t>
            </w:r>
          </w:p>
        </w:tc>
        <w:tc>
          <w:tcPr>
            <w:tcW w:type="dxa" w:w="3182"/>
            <w:shd w:fill="FFFFFF"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rgba(255,255,255,.6)</w:t>
            </w:r>
          </w:p>
        </w:tc>
        <w:tc>
          <w:tcPr>
            <w:tcW w:type="dxa" w:w="3931"/>
            <w:shd w:fill="FFFFFF"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Card surfaces (+ backdrop-blur 20px)</w:t>
            </w:r>
          </w:p>
        </w:tc>
      </w:tr>
      <w:tr>
        <w:tc>
          <w:tcPr>
            <w:tcW w:type="dxa" w:w="2246"/>
            <w:shd w:fill="F2F6EA" w:val="clear"/>
            <w:tcMar>
              <w:top w:type="dxa" w:w="60"/>
              <w:left w:type="dxa" w:w="110"/>
              <w:bottom w:type="dxa" w:w="60"/>
              <w:right w:type="dxa" w:w="110"/>
            </w:tcMar>
          </w:tcPr>
          <w:p>
            <w:pPr>
              <w:spacing w:after="20" w:line="252"/>
            </w:pPr>
            <w:r>
              <w:rPr>
                <w:rFonts w:ascii="Consolas" w:cs="Consolas" w:eastAsia="Consolas" w:hAnsi="Consolas"/>
                <w:color w:val="2A3320"/>
                <w:sz w:val="19"/>
                <w:szCs w:val="19"/>
              </w:rPr>
              <w:t xml:space="preserve">--glass-edge</w:t>
            </w:r>
          </w:p>
        </w:tc>
        <w:tc>
          <w:tcPr>
            <w:tcW w:type="dxa" w:w="3182"/>
            <w:shd w:fill="F2F6EA"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rgba(255,255,255,.9)</w:t>
            </w:r>
          </w:p>
        </w:tc>
        <w:tc>
          <w:tcPr>
            <w:tcW w:type="dxa" w:w="3931"/>
            <w:shd w:fill="F2F6EA"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1px top highlight on glass, sells the 3D lip</w:t>
            </w:r>
          </w:p>
        </w:tc>
      </w:tr>
      <w:tr>
        <w:tc>
          <w:tcPr>
            <w:tcW w:type="dxa" w:w="2246"/>
            <w:shd w:fill="FFFFFF" w:val="clear"/>
            <w:tcMar>
              <w:top w:type="dxa" w:w="60"/>
              <w:left w:type="dxa" w:w="110"/>
              <w:bottom w:type="dxa" w:w="60"/>
              <w:right w:type="dxa" w:w="110"/>
            </w:tcMar>
          </w:tcPr>
          <w:p>
            <w:pPr>
              <w:spacing w:after="20" w:line="252"/>
            </w:pPr>
            <w:r>
              <w:rPr>
                <w:rFonts w:ascii="Consolas" w:cs="Consolas" w:eastAsia="Consolas" w:hAnsi="Consolas"/>
                <w:color w:val="2A3320"/>
                <w:sz w:val="19"/>
                <w:szCs w:val="19"/>
              </w:rPr>
              <w:t xml:space="preserve">--ink</w:t>
            </w:r>
          </w:p>
        </w:tc>
        <w:tc>
          <w:tcPr>
            <w:tcW w:type="dxa" w:w="3182"/>
            <w:shd w:fill="FFFFFF"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#1A1F16</w:t>
            </w:r>
          </w:p>
        </w:tc>
        <w:tc>
          <w:tcPr>
            <w:tcW w:type="dxa" w:w="3931"/>
            <w:shd w:fill="FFFFFF"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Body text on light</w:t>
            </w:r>
          </w:p>
        </w:tc>
      </w:tr>
      <w:tr>
        <w:tc>
          <w:tcPr>
            <w:tcW w:type="dxa" w:w="2246"/>
            <w:shd w:fill="F2F6EA" w:val="clear"/>
            <w:tcMar>
              <w:top w:type="dxa" w:w="60"/>
              <w:left w:type="dxa" w:w="110"/>
              <w:bottom w:type="dxa" w:w="60"/>
              <w:right w:type="dxa" w:w="110"/>
            </w:tcMar>
          </w:tcPr>
          <w:p>
            <w:pPr>
              <w:spacing w:after="20" w:line="252"/>
            </w:pPr>
            <w:r>
              <w:rPr>
                <w:rFonts w:ascii="Consolas" w:cs="Consolas" w:eastAsia="Consolas" w:hAnsi="Consolas"/>
                <w:color w:val="2A3320"/>
                <w:sz w:val="19"/>
                <w:szCs w:val="19"/>
              </w:rPr>
              <w:t xml:space="preserve">--night</w:t>
            </w:r>
          </w:p>
        </w:tc>
        <w:tc>
          <w:tcPr>
            <w:tcW w:type="dxa" w:w="3182"/>
            <w:shd w:fill="F2F6EA"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#0E1310</w:t>
            </w:r>
          </w:p>
        </w:tc>
        <w:tc>
          <w:tcPr>
            <w:tcW w:type="dxa" w:w="3931"/>
            <w:shd w:fill="F2F6EA"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Dark canvas so the green glows</w:t>
            </w:r>
          </w:p>
        </w:tc>
      </w:tr>
      <w:tr>
        <w:tc>
          <w:tcPr>
            <w:tcW w:type="dxa" w:w="2246"/>
            <w:shd w:fill="FFFFFF" w:val="clear"/>
            <w:tcMar>
              <w:top w:type="dxa" w:w="60"/>
              <w:left w:type="dxa" w:w="110"/>
              <w:bottom w:type="dxa" w:w="60"/>
              <w:right w:type="dxa" w:w="110"/>
            </w:tcMar>
          </w:tcPr>
          <w:p>
            <w:pPr>
              <w:spacing w:after="20" w:line="252"/>
            </w:pPr>
            <w:r>
              <w:rPr>
                <w:rFonts w:ascii="Consolas" w:cs="Consolas" w:eastAsia="Consolas" w:hAnsi="Consolas"/>
                <w:color w:val="2A3320"/>
                <w:sz w:val="19"/>
                <w:szCs w:val="19"/>
              </w:rPr>
              <w:t xml:space="preserve">--night-glass</w:t>
            </w:r>
          </w:p>
        </w:tc>
        <w:tc>
          <w:tcPr>
            <w:tcW w:type="dxa" w:w="3182"/>
            <w:shd w:fill="FFFFFF"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rgba(20,28,18,.5)</w:t>
            </w:r>
          </w:p>
        </w:tc>
        <w:tc>
          <w:tcPr>
            <w:tcW w:type="dxa" w:w="3931"/>
            <w:shd w:fill="FFFFFF"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Frosted panels on dark</w:t>
            </w:r>
          </w:p>
        </w:tc>
      </w:tr>
      <w:tr>
        <w:tc>
          <w:tcPr>
            <w:tcW w:type="dxa" w:w="2246"/>
            <w:shd w:fill="F2F6EA" w:val="clear"/>
            <w:tcMar>
              <w:top w:type="dxa" w:w="60"/>
              <w:left w:type="dxa" w:w="110"/>
              <w:bottom w:type="dxa" w:w="60"/>
              <w:right w:type="dxa" w:w="110"/>
            </w:tcMar>
          </w:tcPr>
          <w:p>
            <w:pPr>
              <w:spacing w:after="20" w:line="252"/>
            </w:pPr>
            <w:r>
              <w:rPr>
                <w:rFonts w:ascii="Consolas" w:cs="Consolas" w:eastAsia="Consolas" w:hAnsi="Consolas"/>
                <w:color w:val="2A3320"/>
                <w:sz w:val="19"/>
                <w:szCs w:val="19"/>
              </w:rPr>
              <w:t xml:space="preserve">--danger</w:t>
            </w:r>
          </w:p>
        </w:tc>
        <w:tc>
          <w:tcPr>
            <w:tcW w:type="dxa" w:w="3182"/>
            <w:shd w:fill="F2F6EA"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#B23A3A</w:t>
            </w:r>
          </w:p>
        </w:tc>
        <w:tc>
          <w:tcPr>
            <w:tcW w:type="dxa" w:w="3931"/>
            <w:shd w:fill="F2F6EA"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Liquidation warnings, unverified markets</w:t>
            </w:r>
          </w:p>
        </w:tc>
      </w:tr>
      <w:tr>
        <w:tc>
          <w:tcPr>
            <w:tcW w:type="dxa" w:w="2246"/>
            <w:shd w:fill="FFFFFF" w:val="clear"/>
            <w:tcMar>
              <w:top w:type="dxa" w:w="60"/>
              <w:left w:type="dxa" w:w="110"/>
              <w:bottom w:type="dxa" w:w="60"/>
              <w:right w:type="dxa" w:w="110"/>
            </w:tcMar>
          </w:tcPr>
          <w:p>
            <w:pPr>
              <w:spacing w:after="20" w:line="252"/>
            </w:pPr>
            <w:r>
              <w:rPr>
                <w:rFonts w:ascii="Consolas" w:cs="Consolas" w:eastAsia="Consolas" w:hAnsi="Consolas"/>
                <w:color w:val="2A3320"/>
                <w:sz w:val="19"/>
                <w:szCs w:val="19"/>
              </w:rPr>
              <w:t xml:space="preserve">--warn</w:t>
            </w:r>
          </w:p>
        </w:tc>
        <w:tc>
          <w:tcPr>
            <w:tcW w:type="dxa" w:w="3182"/>
            <w:shd w:fill="FFFFFF"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#C08A1E</w:t>
            </w:r>
          </w:p>
        </w:tc>
        <w:tc>
          <w:tcPr>
            <w:tcW w:type="dxa" w:w="3931"/>
            <w:shd w:fill="FFFFFF"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Caution, medium risk, low buffer</w:t>
            </w:r>
          </w:p>
        </w:tc>
      </w:tr>
    </w:tbl>
    <w:p>
      <w:pPr>
        <w:pStyle w:val="Heading2"/>
        <w:spacing w:after="100" w:before="260"/>
      </w:pPr>
      <w:r>
        <w:rPr>
          <w:rFonts w:ascii="Aptos" w:cs="Aptos" w:eastAsia="Aptos" w:hAnsi="Aptos"/>
          <w:b/>
          <w:bCs/>
          <w:color w:val="1A1F16"/>
        </w:rPr>
        <w:t xml:space="preserve">2.2  Typography</w:t>
      </w:r>
    </w:p>
    <w:p>
      <w:pPr>
        <w:spacing w:after="120" w:line="276"/>
      </w:pPr>
      <w:r>
        <w:rPr>
          <w:rFonts w:ascii="Aptos" w:cs="Aptos" w:eastAsia="Aptos" w:hAnsi="Aptos"/>
          <w:color w:val="1A1F16"/>
          <w:sz w:val="21"/>
          <w:szCs w:val="21"/>
        </w:rPr>
        <w:t xml:space="preserve">One family does display and body, to keep it cohesive: a rounded geometric sans with real weight range. </w:t>
      </w:r>
      <w:r>
        <w:rPr>
          <w:rFonts w:ascii="Aptos" w:cs="Aptos" w:eastAsia="Aptos" w:hAnsi="Aptos"/>
          <w:b/>
          <w:bCs/>
          <w:color w:val="1A1F16"/>
          <w:sz w:val="21"/>
          <w:szCs w:val="21"/>
        </w:rPr>
        <w:t xml:space="preserve">Suggested: </w:t>
      </w:r>
      <w:r>
        <w:rPr>
          <w:rFonts w:ascii="Aptos" w:cs="Aptos" w:eastAsia="Aptos" w:hAnsi="Aptos"/>
          <w:color w:val="1A1F16"/>
          <w:sz w:val="21"/>
          <w:szCs w:val="21"/>
        </w:rPr>
        <w:t xml:space="preserve">General Sans or Satoshi for the wordmark and headings (they echo the logo's soft, glossy roundness), with Inter as the workhorse for dense tables and numbers where legibility at small sizes wins.</w:t>
      </w:r>
    </w:p>
    <w:tbl>
      <w:tblPr>
        <w:tblW w:type="dxa" w:w="9360"/>
        <w:tblBorders>
          <w:top w:val="single" w:color="D8E0C8" w:sz="2"/>
          <w:left w:val="none"/>
          <w:bottom w:val="single" w:color="D8E0C8" w:sz="2"/>
          <w:right w:val="none"/>
          <w:insideH w:val="single" w:color="E4EAD6" w:sz="2"/>
          <w:insideV w:val="single" w:color="E4EAD6" w:sz="2"/>
        </w:tblBorders>
      </w:tblPr>
      <w:tblGrid>
        <w:gridCol w:w="2246"/>
        <w:gridCol w:w="3370"/>
        <w:gridCol w:w="3744"/>
      </w:tblGrid>
      <w:tr>
        <w:trPr>
          <w:tblHeader/>
        </w:trPr>
        <w:tc>
          <w:tcPr>
            <w:tcW w:type="dxa" w:w="2246"/>
            <w:shd w:fill="4A7A0F" w:val="clear"/>
            <w:tcMar>
              <w:top w:type="dxa" w:w="70"/>
              <w:left w:type="dxa" w:w="110"/>
              <w:bottom w:type="dxa" w:w="70"/>
              <w:right w:type="dxa" w:w="110"/>
            </w:tcMar>
          </w:tcPr>
          <w:p>
            <w:r>
              <w:rPr>
                <w:rFonts w:ascii="Aptos" w:cs="Aptos" w:eastAsia="Aptos" w:hAnsi="Aptos"/>
                <w:b/>
                <w:bCs/>
                <w:color w:val="FFFFFF"/>
                <w:sz w:val="19"/>
                <w:szCs w:val="19"/>
              </w:rPr>
              <w:t xml:space="preserve">Role</w:t>
            </w:r>
          </w:p>
        </w:tc>
        <w:tc>
          <w:tcPr>
            <w:tcW w:type="dxa" w:w="3370"/>
            <w:shd w:fill="4A7A0F" w:val="clear"/>
            <w:tcMar>
              <w:top w:type="dxa" w:w="70"/>
              <w:left w:type="dxa" w:w="110"/>
              <w:bottom w:type="dxa" w:w="70"/>
              <w:right w:type="dxa" w:w="110"/>
            </w:tcMar>
          </w:tcPr>
          <w:p>
            <w:r>
              <w:rPr>
                <w:rFonts w:ascii="Aptos" w:cs="Aptos" w:eastAsia="Aptos" w:hAnsi="Aptos"/>
                <w:b/>
                <w:bCs/>
                <w:color w:val="FFFFFF"/>
                <w:sz w:val="19"/>
                <w:szCs w:val="19"/>
              </w:rPr>
              <w:t xml:space="preserve">Face / weight</w:t>
            </w:r>
          </w:p>
        </w:tc>
        <w:tc>
          <w:tcPr>
            <w:tcW w:type="dxa" w:w="3744"/>
            <w:shd w:fill="4A7A0F" w:val="clear"/>
            <w:tcMar>
              <w:top w:type="dxa" w:w="70"/>
              <w:left w:type="dxa" w:w="110"/>
              <w:bottom w:type="dxa" w:w="70"/>
              <w:right w:type="dxa" w:w="110"/>
            </w:tcMar>
          </w:tcPr>
          <w:p>
            <w:r>
              <w:rPr>
                <w:rFonts w:ascii="Aptos" w:cs="Aptos" w:eastAsia="Aptos" w:hAnsi="Aptos"/>
                <w:b/>
                <w:bCs/>
                <w:color w:val="FFFFFF"/>
                <w:sz w:val="19"/>
                <w:szCs w:val="19"/>
              </w:rPr>
              <w:t xml:space="preserve">Size / treatment</w:t>
            </w:r>
          </w:p>
        </w:tc>
      </w:tr>
      <w:tr>
        <w:tc>
          <w:tcPr>
            <w:tcW w:type="dxa" w:w="2246"/>
            <w:shd w:fill="F2F6EA"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Hero wordmark</w:t>
            </w:r>
          </w:p>
        </w:tc>
        <w:tc>
          <w:tcPr>
            <w:tcW w:type="dxa" w:w="3370"/>
            <w:shd w:fill="F2F6EA"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General Sans / 700</w:t>
            </w:r>
          </w:p>
        </w:tc>
        <w:tc>
          <w:tcPr>
            <w:tcW w:type="dxa" w:w="3744"/>
            <w:shd w:fill="F2F6EA"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Very large, tight tracking, lime gradient fill</w:t>
            </w:r>
          </w:p>
        </w:tc>
      </w:tr>
      <w:tr>
        <w:tc>
          <w:tcPr>
            <w:tcW w:type="dxa" w:w="2246"/>
            <w:shd w:fill="FFFFFF"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Section heading</w:t>
            </w:r>
          </w:p>
        </w:tc>
        <w:tc>
          <w:tcPr>
            <w:tcW w:type="dxa" w:w="3370"/>
            <w:shd w:fill="FFFFFF"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General Sans / 600</w:t>
            </w:r>
          </w:p>
        </w:tc>
        <w:tc>
          <w:tcPr>
            <w:tcW w:type="dxa" w:w="3744"/>
            <w:shd w:fill="FFFFFF"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clamp(1.6–2.4rem), ink or deep-lime</w:t>
            </w:r>
          </w:p>
        </w:tc>
      </w:tr>
      <w:tr>
        <w:tc>
          <w:tcPr>
            <w:tcW w:type="dxa" w:w="2246"/>
            <w:shd w:fill="F2F6EA"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Body</w:t>
            </w:r>
          </w:p>
        </w:tc>
        <w:tc>
          <w:tcPr>
            <w:tcW w:type="dxa" w:w="3370"/>
            <w:shd w:fill="F2F6EA"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Inter / 400</w:t>
            </w:r>
          </w:p>
        </w:tc>
        <w:tc>
          <w:tcPr>
            <w:tcW w:type="dxa" w:w="3744"/>
            <w:shd w:fill="F2F6EA"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16–18px, line-length &lt; 72ch</w:t>
            </w:r>
          </w:p>
        </w:tc>
      </w:tr>
      <w:tr>
        <w:tc>
          <w:tcPr>
            <w:tcW w:type="dxa" w:w="2246"/>
            <w:shd w:fill="FFFFFF"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Data / numbers</w:t>
            </w:r>
          </w:p>
        </w:tc>
        <w:tc>
          <w:tcPr>
            <w:tcW w:type="dxa" w:w="3370"/>
            <w:shd w:fill="FFFFFF"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Inter / 500 tabular-nums</w:t>
            </w:r>
          </w:p>
        </w:tc>
        <w:tc>
          <w:tcPr>
            <w:tcW w:type="dxa" w:w="3744"/>
            <w:shd w:fill="FFFFFF"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Aligned columns; never let APYs jitter</w:t>
            </w:r>
          </w:p>
        </w:tc>
      </w:tr>
      <w:tr>
        <w:tc>
          <w:tcPr>
            <w:tcW w:type="dxa" w:w="2246"/>
            <w:shd w:fill="F2F6EA"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Micro-label</w:t>
            </w:r>
          </w:p>
        </w:tc>
        <w:tc>
          <w:tcPr>
            <w:tcW w:type="dxa" w:w="3370"/>
            <w:shd w:fill="F2F6EA"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Inter / 500</w:t>
            </w:r>
          </w:p>
        </w:tc>
        <w:tc>
          <w:tcPr>
            <w:tcW w:type="dxa" w:w="3744"/>
            <w:shd w:fill="F2F6EA"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13–14px, sentence case (never all-caps)</w:t>
            </w:r>
          </w:p>
        </w:tc>
      </w:tr>
    </w:tbl>
    <w:p>
      <w:pPr>
        <w:pStyle w:val="Heading2"/>
        <w:spacing w:after="100" w:before="260"/>
      </w:pPr>
      <w:r>
        <w:rPr>
          <w:rFonts w:ascii="Aptos" w:cs="Aptos" w:eastAsia="Aptos" w:hAnsi="Aptos"/>
          <w:b/>
          <w:bCs/>
          <w:color w:val="1A1F16"/>
        </w:rPr>
        <w:t xml:space="preserve">2.3  Shape, elevation &amp; motion</w:t>
      </w:r>
    </w:p>
    <w:p>
      <w:pPr>
        <w:pStyle w:val="ListParagraph"/>
        <w:numPr>
          <w:ilvl w:val="0"/>
          <w:numId w:val="3"/>
        </w:numPr>
        <w:spacing w:after="80" w:line="268"/>
      </w:pPr>
      <w:r>
        <w:rPr>
          <w:rFonts w:ascii="Consolas" w:cs="Consolas" w:eastAsia="Consolas" w:hAnsi="Consolas"/>
          <w:color w:val="2A3320"/>
          <w:sz w:val="19"/>
          <w:szCs w:val="19"/>
        </w:rPr>
        <w:t xml:space="preserve">--radius</w:t>
      </w:r>
      <w:r>
        <w:rPr>
          <w:rFonts w:ascii="Aptos" w:cs="Aptos" w:eastAsia="Aptos" w:hAnsi="Aptos"/>
          <w:color w:val="1A1F16"/>
          <w:sz w:val="21"/>
          <w:szCs w:val="21"/>
        </w:rPr>
        <w:t xml:space="preserve">  cards 20px, sheets 28px, pills full. One step smaller on nested elements — not one radius on everything.</w:t>
      </w:r>
    </w:p>
    <w:p>
      <w:pPr>
        <w:pStyle w:val="ListParagraph"/>
        <w:numPr>
          <w:ilvl w:val="0"/>
          <w:numId w:val="3"/>
        </w:numPr>
        <w:spacing w:after="80" w:line="268"/>
      </w:pPr>
      <w:r>
        <w:rPr>
          <w:rFonts w:ascii="Consolas" w:cs="Consolas" w:eastAsia="Consolas" w:hAnsi="Consolas"/>
          <w:color w:val="2A3320"/>
          <w:sz w:val="19"/>
          <w:szCs w:val="19"/>
        </w:rPr>
        <w:t xml:space="preserve">--shadow-glass</w:t>
      </w:r>
      <w:r>
        <w:rPr>
          <w:rFonts w:ascii="Aptos" w:cs="Aptos" w:eastAsia="Aptos" w:hAnsi="Aptos"/>
          <w:color w:val="1A1F16"/>
          <w:sz w:val="21"/>
          <w:szCs w:val="21"/>
        </w:rPr>
        <w:t xml:space="preserve">  a soft ambient shadow plus an inner top highlight; the highlight is what makes glass look like a liquid lip rather than a flat card.</w:t>
      </w:r>
    </w:p>
    <w:p>
      <w:pPr>
        <w:pStyle w:val="ListParagraph"/>
        <w:numPr>
          <w:ilvl w:val="0"/>
          <w:numId w:val="3"/>
        </w:numPr>
        <w:spacing w:after="80" w:line="268"/>
      </w:pPr>
      <w:r>
        <w:rPr>
          <w:rFonts w:ascii="Consolas" w:cs="Consolas" w:eastAsia="Consolas" w:hAnsi="Consolas"/>
          <w:color w:val="2A3320"/>
          <w:sz w:val="19"/>
          <w:szCs w:val="19"/>
        </w:rPr>
        <w:t xml:space="preserve">--spring</w:t>
      </w:r>
      <w:r>
        <w:rPr>
          <w:rFonts w:ascii="Aptos" w:cs="Aptos" w:eastAsia="Aptos" w:hAnsi="Aptos"/>
          <w:color w:val="1A1F16"/>
          <w:sz w:val="21"/>
          <w:szCs w:val="21"/>
        </w:rPr>
        <w:t xml:space="preserve">  Framer Motion springs (stiffness ~180, damping ~22) for anything that opens, expands or confirms — action-driven motion is always welcome; ambient motion is rationed.</w:t>
      </w:r>
    </w:p>
    <w:p>
      <w:pPr>
        <w:pStyle w:val="ListParagraph"/>
        <w:numPr>
          <w:ilvl w:val="0"/>
          <w:numId w:val="3"/>
        </w:numPr>
        <w:spacing w:after="80" w:line="268"/>
      </w:pPr>
      <w:r>
        <w:rPr>
          <w:rFonts w:ascii="Consolas" w:cs="Consolas" w:eastAsia="Consolas" w:hAnsi="Consolas"/>
          <w:color w:val="2A3320"/>
          <w:sz w:val="19"/>
          <w:szCs w:val="19"/>
        </w:rPr>
        <w:t xml:space="preserve">--ease-liquid</w:t>
      </w:r>
      <w:r>
        <w:rPr>
          <w:rFonts w:ascii="Aptos" w:cs="Aptos" w:eastAsia="Aptos" w:hAnsi="Aptos"/>
          <w:color w:val="1A1F16"/>
          <w:sz w:val="21"/>
          <w:szCs w:val="21"/>
        </w:rPr>
        <w:t xml:space="preserve">  a slow custom cubic-bezier for the hero blob and loop-flow animation only.</w:t>
      </w:r>
    </w:p>
    <w:p>
      <w:r>
        <w:br w:type="page"/>
      </w:r>
    </w:p>
    <w:p>
      <w:pPr>
        <w:pStyle w:val="Heading1"/>
        <w:spacing w:after="140" w:before="360"/>
      </w:pPr>
      <w:r>
        <w:rPr>
          <w:rFonts w:ascii="Aptos" w:cs="Aptos" w:eastAsia="Aptos" w:hAnsi="Aptos"/>
          <w:b/>
          <w:bCs/>
          <w:color w:val="4A7A0F"/>
        </w:rPr>
        <w:t xml:space="preserve">3.  Screen map</w:t>
      </w:r>
    </w:p>
    <w:p>
      <w:pPr>
        <w:spacing w:after="120" w:line="276"/>
      </w:pPr>
      <w:r>
        <w:rPr>
          <w:rFonts w:ascii="Aptos" w:cs="Aptos" w:eastAsia="Aptos" w:hAnsi="Aptos"/>
          <w:color w:val="1A1F16"/>
          <w:sz w:val="21"/>
          <w:szCs w:val="21"/>
        </w:rPr>
        <w:t xml:space="preserve">Eight surfaces. The chat and the loop explorer are where users spend time; everything else supports them.</w:t>
      </w:r>
    </w:p>
    <w:tbl>
      <w:tblPr>
        <w:tblW w:type="dxa" w:w="9360"/>
        <w:tblBorders>
          <w:top w:val="single" w:color="D8E0C8" w:sz="2"/>
          <w:left w:val="none"/>
          <w:bottom w:val="single" w:color="D8E0C8" w:sz="2"/>
          <w:right w:val="none"/>
          <w:insideH w:val="single" w:color="E4EAD6" w:sz="2"/>
          <w:insideV w:val="single" w:color="E4EAD6" w:sz="2"/>
        </w:tblBorders>
      </w:tblPr>
      <w:tblGrid>
        <w:gridCol w:w="2246"/>
        <w:gridCol w:w="3744"/>
        <w:gridCol w:w="3370"/>
      </w:tblGrid>
      <w:tr>
        <w:trPr>
          <w:tblHeader/>
        </w:trPr>
        <w:tc>
          <w:tcPr>
            <w:tcW w:type="dxa" w:w="2246"/>
            <w:shd w:fill="4A7A0F" w:val="clear"/>
            <w:tcMar>
              <w:top w:type="dxa" w:w="70"/>
              <w:left w:type="dxa" w:w="110"/>
              <w:bottom w:type="dxa" w:w="70"/>
              <w:right w:type="dxa" w:w="110"/>
            </w:tcMar>
          </w:tcPr>
          <w:p>
            <w:r>
              <w:rPr>
                <w:rFonts w:ascii="Aptos" w:cs="Aptos" w:eastAsia="Aptos" w:hAnsi="Aptos"/>
                <w:b/>
                <w:bCs/>
                <w:color w:val="FFFFFF"/>
                <w:sz w:val="19"/>
                <w:szCs w:val="19"/>
              </w:rPr>
              <w:t xml:space="preserve">Screen</w:t>
            </w:r>
          </w:p>
        </w:tc>
        <w:tc>
          <w:tcPr>
            <w:tcW w:type="dxa" w:w="3744"/>
            <w:shd w:fill="4A7A0F" w:val="clear"/>
            <w:tcMar>
              <w:top w:type="dxa" w:w="70"/>
              <w:left w:type="dxa" w:w="110"/>
              <w:bottom w:type="dxa" w:w="70"/>
              <w:right w:type="dxa" w:w="110"/>
            </w:tcMar>
          </w:tcPr>
          <w:p>
            <w:r>
              <w:rPr>
                <w:rFonts w:ascii="Aptos" w:cs="Aptos" w:eastAsia="Aptos" w:hAnsi="Aptos"/>
                <w:b/>
                <w:bCs/>
                <w:color w:val="FFFFFF"/>
                <w:sz w:val="19"/>
                <w:szCs w:val="19"/>
              </w:rPr>
              <w:t xml:space="preserve">Job</w:t>
            </w:r>
          </w:p>
        </w:tc>
        <w:tc>
          <w:tcPr>
            <w:tcW w:type="dxa" w:w="3370"/>
            <w:shd w:fill="4A7A0F" w:val="clear"/>
            <w:tcMar>
              <w:top w:type="dxa" w:w="70"/>
              <w:left w:type="dxa" w:w="110"/>
              <w:bottom w:type="dxa" w:w="70"/>
              <w:right w:type="dxa" w:w="110"/>
            </w:tcMar>
          </w:tcPr>
          <w:p>
            <w:r>
              <w:rPr>
                <w:rFonts w:ascii="Aptos" w:cs="Aptos" w:eastAsia="Aptos" w:hAnsi="Aptos"/>
                <w:b/>
                <w:bCs/>
                <w:color w:val="FFFFFF"/>
                <w:sz w:val="19"/>
                <w:szCs w:val="19"/>
              </w:rPr>
              <w:t xml:space="preserve">Signature element</w:t>
            </w:r>
          </w:p>
        </w:tc>
      </w:tr>
      <w:tr>
        <w:tc>
          <w:tcPr>
            <w:tcW w:type="dxa" w:w="2246"/>
            <w:shd w:fill="F2F6EA" w:val="clear"/>
            <w:tcMar>
              <w:top w:type="dxa" w:w="60"/>
              <w:left w:type="dxa" w:w="110"/>
              <w:bottom w:type="dxa" w:w="60"/>
              <w:right w:type="dxa" w:w="110"/>
            </w:tcMar>
          </w:tcPr>
          <w:p>
            <w:pPr>
              <w:spacing w:after="20" w:line="252"/>
            </w:pPr>
            <w:r>
              <w:rPr>
                <w:rFonts w:ascii="Aptos" w:cs="Aptos" w:eastAsia="Aptos" w:hAnsi="Aptos"/>
                <w:b/>
                <w:bCs/>
                <w:color w:val="1A1F16"/>
                <w:sz w:val="18"/>
                <w:szCs w:val="18"/>
              </w:rPr>
              <w:t xml:space="preserve">Hero / Landing</w:t>
            </w:r>
          </w:p>
        </w:tc>
        <w:tc>
          <w:tcPr>
            <w:tcW w:type="dxa" w:w="3744"/>
            <w:shd w:fill="F2F6EA"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Say what Cirq is in one line; one CTA.</w:t>
            </w:r>
          </w:p>
        </w:tc>
        <w:tc>
          <w:tcPr>
            <w:tcW w:type="dxa" w:w="3370"/>
            <w:shd w:fill="F2F6EA"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The liquid logo + a single load-time motion moment.</w:t>
            </w:r>
          </w:p>
        </w:tc>
      </w:tr>
      <w:tr>
        <w:tc>
          <w:tcPr>
            <w:tcW w:type="dxa" w:w="2246"/>
            <w:shd w:fill="FFFFFF" w:val="clear"/>
            <w:tcMar>
              <w:top w:type="dxa" w:w="60"/>
              <w:left w:type="dxa" w:w="110"/>
              <w:bottom w:type="dxa" w:w="60"/>
              <w:right w:type="dxa" w:w="110"/>
            </w:tcMar>
          </w:tcPr>
          <w:p>
            <w:pPr>
              <w:spacing w:after="20" w:line="252"/>
            </w:pPr>
            <w:r>
              <w:rPr>
                <w:rFonts w:ascii="Aptos" w:cs="Aptos" w:eastAsia="Aptos" w:hAnsi="Aptos"/>
                <w:b/>
                <w:bCs/>
                <w:color w:val="1A1F16"/>
                <w:sz w:val="18"/>
                <w:szCs w:val="18"/>
              </w:rPr>
              <w:t xml:space="preserve">Chat</w:t>
            </w:r>
          </w:p>
        </w:tc>
        <w:tc>
          <w:tcPr>
            <w:tcW w:type="dxa" w:w="3744"/>
            <w:shd w:fill="FFFFFF"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Primary interaction with the agent.</w:t>
            </w:r>
          </w:p>
        </w:tc>
        <w:tc>
          <w:tcPr>
            <w:tcW w:type="dxa" w:w="3370"/>
            <w:shd w:fill="FFFFFF"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Inline transaction preview cards with risk summary.</w:t>
            </w:r>
          </w:p>
        </w:tc>
      </w:tr>
      <w:tr>
        <w:tc>
          <w:tcPr>
            <w:tcW w:type="dxa" w:w="2246"/>
            <w:shd w:fill="F2F6EA" w:val="clear"/>
            <w:tcMar>
              <w:top w:type="dxa" w:w="60"/>
              <w:left w:type="dxa" w:w="110"/>
              <w:bottom w:type="dxa" w:w="60"/>
              <w:right w:type="dxa" w:w="110"/>
            </w:tcMar>
          </w:tcPr>
          <w:p>
            <w:pPr>
              <w:spacing w:after="20" w:line="252"/>
            </w:pPr>
            <w:r>
              <w:rPr>
                <w:rFonts w:ascii="Aptos" w:cs="Aptos" w:eastAsia="Aptos" w:hAnsi="Aptos"/>
                <w:b/>
                <w:bCs/>
                <w:color w:val="1A1F16"/>
                <w:sz w:val="18"/>
                <w:szCs w:val="18"/>
              </w:rPr>
              <w:t xml:space="preserve">Loop Explorer</w:t>
            </w:r>
          </w:p>
        </w:tc>
        <w:tc>
          <w:tcPr>
            <w:tcW w:type="dxa" w:w="3744"/>
            <w:shd w:fill="F2F6EA"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Show &amp; compare yield circuits.</w:t>
            </w:r>
          </w:p>
        </w:tc>
        <w:tc>
          <w:tcPr>
            <w:tcW w:type="dxa" w:w="3370"/>
            <w:shd w:fill="F2F6EA"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Animated flowing-liquid circuit diagrams.</w:t>
            </w:r>
          </w:p>
        </w:tc>
      </w:tr>
      <w:tr>
        <w:tc>
          <w:tcPr>
            <w:tcW w:type="dxa" w:w="2246"/>
            <w:shd w:fill="FFFFFF" w:val="clear"/>
            <w:tcMar>
              <w:top w:type="dxa" w:w="60"/>
              <w:left w:type="dxa" w:w="110"/>
              <w:bottom w:type="dxa" w:w="60"/>
              <w:right w:type="dxa" w:w="110"/>
            </w:tcMar>
          </w:tcPr>
          <w:p>
            <w:pPr>
              <w:spacing w:after="20" w:line="252"/>
            </w:pPr>
            <w:r>
              <w:rPr>
                <w:rFonts w:ascii="Aptos" w:cs="Aptos" w:eastAsia="Aptos" w:hAnsi="Aptos"/>
                <w:b/>
                <w:bCs/>
                <w:color w:val="1A1F16"/>
                <w:sz w:val="18"/>
                <w:szCs w:val="18"/>
              </w:rPr>
              <w:t xml:space="preserve">Opportunity Scanner</w:t>
            </w:r>
          </w:p>
        </w:tc>
        <w:tc>
          <w:tcPr>
            <w:tcW w:type="dxa" w:w="3744"/>
            <w:shd w:fill="FFFFFF"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Browse curated markets.</w:t>
            </w:r>
          </w:p>
        </w:tc>
        <w:tc>
          <w:tcPr>
            <w:tcW w:type="dxa" w:w="3370"/>
            <w:shd w:fill="FFFFFF"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Visible legitimacy score per market.</w:t>
            </w:r>
          </w:p>
        </w:tc>
      </w:tr>
      <w:tr>
        <w:tc>
          <w:tcPr>
            <w:tcW w:type="dxa" w:w="2246"/>
            <w:shd w:fill="F2F6EA" w:val="clear"/>
            <w:tcMar>
              <w:top w:type="dxa" w:w="60"/>
              <w:left w:type="dxa" w:w="110"/>
              <w:bottom w:type="dxa" w:w="60"/>
              <w:right w:type="dxa" w:w="110"/>
            </w:tcMar>
          </w:tcPr>
          <w:p>
            <w:pPr>
              <w:spacing w:after="20" w:line="252"/>
            </w:pPr>
            <w:r>
              <w:rPr>
                <w:rFonts w:ascii="Aptos" w:cs="Aptos" w:eastAsia="Aptos" w:hAnsi="Aptos"/>
                <w:b/>
                <w:bCs/>
                <w:color w:val="1A1F16"/>
                <w:sz w:val="18"/>
                <w:szCs w:val="18"/>
              </w:rPr>
              <w:t xml:space="preserve">Positions Dashboard</w:t>
            </w:r>
          </w:p>
        </w:tc>
        <w:tc>
          <w:tcPr>
            <w:tcW w:type="dxa" w:w="3744"/>
            <w:shd w:fill="F2F6EA"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Monitor open positions.</w:t>
            </w:r>
          </w:p>
        </w:tc>
        <w:tc>
          <w:tcPr>
            <w:tcW w:type="dxa" w:w="3370"/>
            <w:shd w:fill="F2F6EA"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Health-factor dial + buffer-to-liquidation.</w:t>
            </w:r>
          </w:p>
        </w:tc>
      </w:tr>
      <w:tr>
        <w:tc>
          <w:tcPr>
            <w:tcW w:type="dxa" w:w="2246"/>
            <w:shd w:fill="FFFFFF" w:val="clear"/>
            <w:tcMar>
              <w:top w:type="dxa" w:w="60"/>
              <w:left w:type="dxa" w:w="110"/>
              <w:bottom w:type="dxa" w:w="60"/>
              <w:right w:type="dxa" w:w="110"/>
            </w:tcMar>
          </w:tcPr>
          <w:p>
            <w:pPr>
              <w:spacing w:after="20" w:line="252"/>
            </w:pPr>
            <w:r>
              <w:rPr>
                <w:rFonts w:ascii="Aptos" w:cs="Aptos" w:eastAsia="Aptos" w:hAnsi="Aptos"/>
                <w:b/>
                <w:bCs/>
                <w:color w:val="1A1F16"/>
                <w:sz w:val="18"/>
                <w:szCs w:val="18"/>
              </w:rPr>
              <w:t xml:space="preserve">Pathfinder Quote</w:t>
            </w:r>
          </w:p>
        </w:tc>
        <w:tc>
          <w:tcPr>
            <w:tcW w:type="dxa" w:w="3744"/>
            <w:shd w:fill="FFFFFF"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Confirm a route before signing.</w:t>
            </w:r>
          </w:p>
        </w:tc>
        <w:tc>
          <w:tcPr>
            <w:tcW w:type="dxa" w:w="3370"/>
            <w:shd w:fill="FFFFFF"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Ranked routes, net of gas &amp; price impact.</w:t>
            </w:r>
          </w:p>
        </w:tc>
      </w:tr>
      <w:tr>
        <w:tc>
          <w:tcPr>
            <w:tcW w:type="dxa" w:w="2246"/>
            <w:shd w:fill="F2F6EA" w:val="clear"/>
            <w:tcMar>
              <w:top w:type="dxa" w:w="60"/>
              <w:left w:type="dxa" w:w="110"/>
              <w:bottom w:type="dxa" w:w="60"/>
              <w:right w:type="dxa" w:w="110"/>
            </w:tcMar>
          </w:tcPr>
          <w:p>
            <w:pPr>
              <w:spacing w:after="20" w:line="252"/>
            </w:pPr>
            <w:r>
              <w:rPr>
                <w:rFonts w:ascii="Aptos" w:cs="Aptos" w:eastAsia="Aptos" w:hAnsi="Aptos"/>
                <w:b/>
                <w:bCs/>
                <w:color w:val="1A1F16"/>
                <w:sz w:val="18"/>
                <w:szCs w:val="18"/>
              </w:rPr>
              <w:t xml:space="preserve">Strategy Builder</w:t>
            </w:r>
          </w:p>
        </w:tc>
        <w:tc>
          <w:tcPr>
            <w:tcW w:type="dxa" w:w="3744"/>
            <w:shd w:fill="F2F6EA"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Advanced manual construction.</w:t>
            </w:r>
          </w:p>
        </w:tc>
        <w:tc>
          <w:tcPr>
            <w:tcW w:type="dxa" w:w="3370"/>
            <w:shd w:fill="F2F6EA"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Drag-to-compose loop legs with live sim.</w:t>
            </w:r>
          </w:p>
        </w:tc>
      </w:tr>
      <w:tr>
        <w:tc>
          <w:tcPr>
            <w:tcW w:type="dxa" w:w="2246"/>
            <w:shd w:fill="FFFFFF" w:val="clear"/>
            <w:tcMar>
              <w:top w:type="dxa" w:w="60"/>
              <w:left w:type="dxa" w:w="110"/>
              <w:bottom w:type="dxa" w:w="60"/>
              <w:right w:type="dxa" w:w="110"/>
            </w:tcMar>
          </w:tcPr>
          <w:p>
            <w:pPr>
              <w:spacing w:after="20" w:line="252"/>
            </w:pPr>
            <w:r>
              <w:rPr>
                <w:rFonts w:ascii="Aptos" w:cs="Aptos" w:eastAsia="Aptos" w:hAnsi="Aptos"/>
                <w:b/>
                <w:bCs/>
                <w:color w:val="1A1F16"/>
                <w:sz w:val="18"/>
                <w:szCs w:val="18"/>
              </w:rPr>
              <w:t xml:space="preserve">Settings / Agent</w:t>
            </w:r>
          </w:p>
        </w:tc>
        <w:tc>
          <w:tcPr>
            <w:tcW w:type="dxa" w:w="3744"/>
            <w:shd w:fill="FFFFFF"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Risk profile &amp; permissions.</w:t>
            </w:r>
          </w:p>
        </w:tc>
        <w:tc>
          <w:tcPr>
            <w:tcW w:type="dxa" w:w="3370"/>
            <w:shd w:fill="FFFFFF"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The session-key permission panel + revoke.</w:t>
            </w:r>
          </w:p>
        </w:tc>
      </w:tr>
    </w:tbl>
    <w:p>
      <w:pPr>
        <w:pStyle w:val="Heading2"/>
        <w:spacing w:after="100" w:before="260"/>
      </w:pPr>
      <w:r>
        <w:rPr>
          <w:rFonts w:ascii="Aptos" w:cs="Aptos" w:eastAsia="Aptos" w:hAnsi="Aptos"/>
          <w:b/>
          <w:bCs/>
          <w:color w:val="1A1F16"/>
        </w:rPr>
        <w:t xml:space="preserve">3.1  Navigation model</w:t>
      </w:r>
    </w:p>
    <w:p>
      <w:pPr>
        <w:spacing w:after="120" w:line="276"/>
      </w:pPr>
      <w:r>
        <w:rPr>
          <w:rFonts w:ascii="Aptos" w:cs="Aptos" w:eastAsia="Aptos" w:hAnsi="Aptos"/>
          <w:color w:val="1A1F16"/>
          <w:sz w:val="21"/>
          <w:szCs w:val="21"/>
        </w:rPr>
        <w:t xml:space="preserve">Desktop: a persistent left rail of glass that collapses to icons. Mobile: a bottom tab bar (Chat, Scanner, Positions, Settings) with the agent chat as the default tab — because the agent </w:t>
      </w:r>
      <w:r>
        <w:rPr>
          <w:rFonts w:ascii="Aptos" w:cs="Aptos" w:eastAsia="Aptos" w:hAnsi="Aptos"/>
          <w:i/>
          <w:iCs/>
          <w:color w:val="1A1F16"/>
          <w:sz w:val="21"/>
          <w:szCs w:val="21"/>
        </w:rPr>
        <w:t xml:space="preserve">is</w:t>
      </w:r>
      <w:r>
        <w:rPr>
          <w:rFonts w:ascii="Aptos" w:cs="Aptos" w:eastAsia="Aptos" w:hAnsi="Aptos"/>
          <w:color w:val="1A1F16"/>
          <w:sz w:val="21"/>
          <w:szCs w:val="21"/>
        </w:rPr>
        <w:t xml:space="preserve"> the product. Route transitions use a shared-element morph (the active nav pill flows to the new header) rather than a page fade, reinforcing the app-not-website feel.</w:t>
      </w:r>
    </w:p>
    <w:p>
      <w:r>
        <w:br w:type="page"/>
      </w:r>
    </w:p>
    <w:p>
      <w:pPr>
        <w:pStyle w:val="Heading1"/>
        <w:spacing w:after="140" w:before="360"/>
      </w:pPr>
      <w:r>
        <w:rPr>
          <w:rFonts w:ascii="Aptos" w:cs="Aptos" w:eastAsia="Aptos" w:hAnsi="Aptos"/>
          <w:b/>
          <w:bCs/>
          <w:color w:val="4A7A0F"/>
        </w:rPr>
        <w:t xml:space="preserve">4.  Screens in detail</w:t>
      </w:r>
    </w:p>
    <w:p>
      <w:pPr>
        <w:pStyle w:val="Heading3"/>
        <w:spacing w:after="60" w:before="180"/>
      </w:pPr>
      <w:r>
        <w:rPr>
          <w:rFonts w:ascii="Aptos" w:cs="Aptos" w:eastAsia="Aptos" w:hAnsi="Aptos"/>
          <w:b/>
          <w:bCs/>
          <w:color w:val="4A7A0F"/>
          <w:sz w:val="23"/>
          <w:szCs w:val="23"/>
        </w:rPr>
        <w:t xml:space="preserve">Hero / Landing</w:t>
      </w:r>
    </w:p>
    <w:p>
      <w:pPr>
        <w:pStyle w:val="ListParagraph"/>
        <w:numPr>
          <w:ilvl w:val="0"/>
          <w:numId w:val="3"/>
        </w:numPr>
        <w:spacing w:after="80" w:line="268"/>
      </w:pPr>
      <w:r>
        <w:rPr>
          <w:rFonts w:ascii="Aptos" w:cs="Aptos" w:eastAsia="Aptos" w:hAnsi="Aptos"/>
          <w:color w:val="1A1F16"/>
          <w:sz w:val="21"/>
          <w:szCs w:val="21"/>
        </w:rPr>
        <w:t xml:space="preserve">The supplied liquid logo, centered, with a slow ambient light-refraction loop and a soft lime glow beneath it. This is motion moment #1 — the one non-interactive animation the page earns.</w:t>
      </w:r>
    </w:p>
    <w:p>
      <w:pPr>
        <w:pStyle w:val="ListParagraph"/>
        <w:numPr>
          <w:ilvl w:val="0"/>
          <w:numId w:val="3"/>
        </w:numPr>
        <w:spacing w:after="80" w:line="268"/>
      </w:pPr>
      <w:r>
        <w:rPr>
          <w:rFonts w:ascii="Aptos" w:cs="Aptos" w:eastAsia="Aptos" w:hAnsi="Aptos"/>
          <w:color w:val="1A1F16"/>
          <w:sz w:val="21"/>
          <w:szCs w:val="21"/>
        </w:rPr>
        <w:t xml:space="preserve">One headline, one sub-line, one CTA (“Connect wallet”). No feature grid above the fold.</w:t>
      </w:r>
    </w:p>
    <w:p>
      <w:pPr>
        <w:pStyle w:val="ListParagraph"/>
        <w:numPr>
          <w:ilvl w:val="0"/>
          <w:numId w:val="3"/>
        </w:numPr>
        <w:spacing w:after="80" w:line="268"/>
      </w:pPr>
      <w:r>
        <w:rPr>
          <w:rFonts w:ascii="Aptos" w:cs="Aptos" w:eastAsia="Aptos" w:hAnsi="Aptos"/>
          <w:color w:val="1A1F16"/>
          <w:sz w:val="21"/>
          <w:szCs w:val="21"/>
        </w:rPr>
        <w:t xml:space="preserve">A jurisdiction notice is visible, not hidden in a footer — Cirq is non-US and the UI says so plainly.</w:t>
      </w:r>
    </w:p>
    <w:p>
      <w:pPr>
        <w:pStyle w:val="Heading3"/>
        <w:spacing w:after="60" w:before="180"/>
      </w:pPr>
      <w:r>
        <w:rPr>
          <w:rFonts w:ascii="Aptos" w:cs="Aptos" w:eastAsia="Aptos" w:hAnsi="Aptos"/>
          <w:b/>
          <w:bCs/>
          <w:color w:val="4A7A0F"/>
          <w:sz w:val="23"/>
          <w:szCs w:val="23"/>
        </w:rPr>
        <w:t xml:space="preserve">Chat (primary surface)</w:t>
      </w:r>
    </w:p>
    <w:p>
      <w:pPr>
        <w:pStyle w:val="ListParagraph"/>
        <w:numPr>
          <w:ilvl w:val="0"/>
          <w:numId w:val="3"/>
        </w:numPr>
        <w:spacing w:after="80" w:line="268"/>
      </w:pPr>
      <w:r>
        <w:rPr>
          <w:rFonts w:ascii="Aptos" w:cs="Aptos" w:eastAsia="Aptos" w:hAnsi="Aptos"/>
          <w:color w:val="1A1F16"/>
          <w:sz w:val="21"/>
          <w:szCs w:val="21"/>
        </w:rPr>
        <w:t xml:space="preserve">Agent messages can render rich blocks: an </w:t>
      </w:r>
      <w:r>
        <w:rPr>
          <w:rFonts w:ascii="Consolas" w:cs="Consolas" w:eastAsia="Consolas" w:hAnsi="Consolas"/>
          <w:color w:val="2A3320"/>
          <w:sz w:val="19"/>
          <w:szCs w:val="19"/>
        </w:rPr>
        <w:t xml:space="preserve">&lt;OpportunityCard&gt;</w:t>
      </w:r>
      <w:r>
        <w:rPr>
          <w:rFonts w:ascii="Aptos" w:cs="Aptos" w:eastAsia="Aptos" w:hAnsi="Aptos"/>
          <w:color w:val="1A1F16"/>
          <w:sz w:val="21"/>
          <w:szCs w:val="21"/>
        </w:rPr>
        <w:t xml:space="preserve">, a </w:t>
      </w:r>
      <w:r>
        <w:rPr>
          <w:rFonts w:ascii="Consolas" w:cs="Consolas" w:eastAsia="Consolas" w:hAnsi="Consolas"/>
          <w:color w:val="2A3320"/>
          <w:sz w:val="19"/>
          <w:szCs w:val="19"/>
        </w:rPr>
        <w:t xml:space="preserve">&lt;LoopPreview&gt;</w:t>
      </w:r>
      <w:r>
        <w:rPr>
          <w:rFonts w:ascii="Aptos" w:cs="Aptos" w:eastAsia="Aptos" w:hAnsi="Aptos"/>
          <w:color w:val="1A1F16"/>
          <w:sz w:val="21"/>
          <w:szCs w:val="21"/>
        </w:rPr>
        <w:t xml:space="preserve">, or a </w:t>
      </w:r>
      <w:r>
        <w:rPr>
          <w:rFonts w:ascii="Consolas" w:cs="Consolas" w:eastAsia="Consolas" w:hAnsi="Consolas"/>
          <w:color w:val="2A3320"/>
          <w:sz w:val="19"/>
          <w:szCs w:val="19"/>
        </w:rPr>
        <w:t xml:space="preserve">&lt;TxPreview&gt;</w:t>
      </w:r>
      <w:r>
        <w:rPr>
          <w:rFonts w:ascii="Aptos" w:cs="Aptos" w:eastAsia="Aptos" w:hAnsi="Aptos"/>
          <w:color w:val="1A1F16"/>
          <w:sz w:val="21"/>
          <w:szCs w:val="21"/>
        </w:rPr>
        <w:t xml:space="preserve">.</w:t>
      </w:r>
    </w:p>
    <w:p>
      <w:pPr>
        <w:pStyle w:val="ListParagraph"/>
        <w:numPr>
          <w:ilvl w:val="0"/>
          <w:numId w:val="3"/>
        </w:numPr>
        <w:spacing w:after="80" w:line="268"/>
      </w:pPr>
      <w:r>
        <w:rPr>
          <w:rFonts w:ascii="Aptos" w:cs="Aptos" w:eastAsia="Aptos" w:hAnsi="Aptos"/>
          <w:color w:val="1A1F16"/>
          <w:sz w:val="21"/>
          <w:szCs w:val="21"/>
        </w:rPr>
        <w:t xml:space="preserve">Every transaction the agent proposes appears as a preview card with: plain-language explanation, expected outcome (APY, IL, liquidation price), a risk summary, and two buttons — Simulate and Sign. </w:t>
      </w:r>
      <w:r>
        <w:rPr>
          <w:rFonts w:ascii="Aptos" w:cs="Aptos" w:eastAsia="Aptos" w:hAnsi="Aptos"/>
          <w:b/>
          <w:bCs/>
          <w:color w:val="1A1F16"/>
          <w:sz w:val="21"/>
          <w:szCs w:val="21"/>
        </w:rPr>
        <w:t xml:space="preserve">The agent never signs; the user always does.</w:t>
      </w:r>
    </w:p>
    <w:p>
      <w:pPr>
        <w:pStyle w:val="ListParagraph"/>
        <w:numPr>
          <w:ilvl w:val="0"/>
          <w:numId w:val="3"/>
        </w:numPr>
        <w:spacing w:after="80" w:line="268"/>
      </w:pPr>
      <w:r>
        <w:rPr>
          <w:rFonts w:ascii="Aptos" w:cs="Aptos" w:eastAsia="Aptos" w:hAnsi="Aptos"/>
          <w:color w:val="1A1F16"/>
          <w:sz w:val="21"/>
          <w:szCs w:val="21"/>
        </w:rPr>
        <w:t xml:space="preserve">Streaming responses with a liquid “thinking” shimmer (not a spinner).</w:t>
      </w:r>
    </w:p>
    <w:p>
      <w:pPr>
        <w:pStyle w:val="Heading3"/>
        <w:spacing w:after="60" w:before="180"/>
      </w:pPr>
      <w:r>
        <w:rPr>
          <w:rFonts w:ascii="Aptos" w:cs="Aptos" w:eastAsia="Aptos" w:hAnsi="Aptos"/>
          <w:b/>
          <w:bCs/>
          <w:color w:val="4A7A0F"/>
          <w:sz w:val="23"/>
          <w:szCs w:val="23"/>
        </w:rPr>
        <w:t xml:space="preserve">Loop Explorer (motion moment #2)</w:t>
      </w:r>
    </w:p>
    <w:p>
      <w:pPr>
        <w:pStyle w:val="ListParagraph"/>
        <w:numPr>
          <w:ilvl w:val="0"/>
          <w:numId w:val="3"/>
        </w:numPr>
        <w:spacing w:after="80" w:line="268"/>
      </w:pPr>
      <w:r>
        <w:rPr>
          <w:rFonts w:ascii="Aptos" w:cs="Aptos" w:eastAsia="Aptos" w:hAnsi="Aptos"/>
          <w:color w:val="1A1F16"/>
          <w:sz w:val="21"/>
          <w:szCs w:val="21"/>
        </w:rPr>
        <w:t xml:space="preserve">Each loop is a node-and-edge diagram: collateral → borrow → LP → fees, with liquid flowing along the edges to show capital movement and compounding direction.</w:t>
      </w:r>
    </w:p>
    <w:p>
      <w:pPr>
        <w:pStyle w:val="ListParagraph"/>
        <w:numPr>
          <w:ilvl w:val="0"/>
          <w:numId w:val="3"/>
        </w:numPr>
        <w:spacing w:after="80" w:line="268"/>
      </w:pPr>
      <w:r>
        <w:rPr>
          <w:rFonts w:ascii="Aptos" w:cs="Aptos" w:eastAsia="Aptos" w:hAnsi="Aptos"/>
          <w:color w:val="1A1F16"/>
          <w:sz w:val="21"/>
          <w:szCs w:val="21"/>
        </w:rPr>
        <w:t xml:space="preserve">Nodes glow green when healthy, amber/red as liquidation risk rises.</w:t>
      </w:r>
    </w:p>
    <w:p>
      <w:pPr>
        <w:pStyle w:val="ListParagraph"/>
        <w:numPr>
          <w:ilvl w:val="0"/>
          <w:numId w:val="3"/>
        </w:numPr>
        <w:spacing w:after="80" w:line="268"/>
      </w:pPr>
      <w:r>
        <w:rPr>
          <w:rFonts w:ascii="Aptos" w:cs="Aptos" w:eastAsia="Aptos" w:hAnsi="Aptos"/>
          <w:color w:val="1A1F16"/>
          <w:sz w:val="21"/>
          <w:szCs w:val="21"/>
        </w:rPr>
        <w:t xml:space="preserve">Each loop card carries a risk-adjusted net APY, capital efficiency, and an always-visible “what can go wrong” line.</w:t>
      </w:r>
    </w:p>
    <w:p>
      <w:pPr>
        <w:pStyle w:val="ListParagraph"/>
        <w:numPr>
          <w:ilvl w:val="0"/>
          <w:numId w:val="3"/>
        </w:numPr>
        <w:spacing w:after="80" w:line="268"/>
      </w:pPr>
      <w:r>
        <w:rPr>
          <w:rFonts w:ascii="Aptos" w:cs="Aptos" w:eastAsia="Aptos" w:hAnsi="Aptos"/>
          <w:color w:val="1A1F16"/>
          <w:sz w:val="21"/>
          <w:szCs w:val="21"/>
        </w:rPr>
        <w:t xml:space="preserve">One-tap “Prepare this loop” hands the full sequence to the agent as an unsigned payload.</w:t>
      </w:r>
    </w:p>
    <w:p>
      <w:pPr>
        <w:pStyle w:val="Heading3"/>
        <w:spacing w:after="60" w:before="180"/>
      </w:pPr>
      <w:r>
        <w:rPr>
          <w:rFonts w:ascii="Aptos" w:cs="Aptos" w:eastAsia="Aptos" w:hAnsi="Aptos"/>
          <w:b/>
          <w:bCs/>
          <w:color w:val="4A7A0F"/>
          <w:sz w:val="23"/>
          <w:szCs w:val="23"/>
        </w:rPr>
        <w:t xml:space="preserve">Opportunity Scanner</w:t>
      </w:r>
    </w:p>
    <w:p>
      <w:pPr>
        <w:pStyle w:val="ListParagraph"/>
        <w:numPr>
          <w:ilvl w:val="0"/>
          <w:numId w:val="3"/>
        </w:numPr>
        <w:spacing w:after="80" w:line="268"/>
      </w:pPr>
      <w:r>
        <w:rPr>
          <w:rFonts w:ascii="Aptos" w:cs="Aptos" w:eastAsia="Aptos" w:hAnsi="Aptos"/>
          <w:color w:val="1A1F16"/>
          <w:sz w:val="21"/>
          <w:szCs w:val="21"/>
        </w:rPr>
        <w:t xml:space="preserve">Curated markets only by default; a legitimacy score (oracle sanity, deployer history, verification, depth, time-alive) sits on every row.</w:t>
      </w:r>
    </w:p>
    <w:p>
      <w:pPr>
        <w:pStyle w:val="ListParagraph"/>
        <w:numPr>
          <w:ilvl w:val="0"/>
          <w:numId w:val="3"/>
        </w:numPr>
        <w:spacing w:after="80" w:line="268"/>
      </w:pPr>
      <w:r>
        <w:rPr>
          <w:rFonts w:ascii="Aptos" w:cs="Aptos" w:eastAsia="Aptos" w:hAnsi="Aptos"/>
          <w:color w:val="1A1F16"/>
          <w:sz w:val="21"/>
          <w:szCs w:val="21"/>
        </w:rPr>
        <w:t xml:space="preserve">Unverified / single-deployer markets are hard-hidden from auto-management and only shown behind an explicit “show unverified” toggle with a red warning — the Noxa lesson, encoded in UI.</w:t>
      </w:r>
    </w:p>
    <w:p>
      <w:pPr>
        <w:pStyle w:val="Heading3"/>
        <w:spacing w:after="60" w:before="180"/>
      </w:pPr>
      <w:r>
        <w:rPr>
          <w:rFonts w:ascii="Aptos" w:cs="Aptos" w:eastAsia="Aptos" w:hAnsi="Aptos"/>
          <w:b/>
          <w:bCs/>
          <w:color w:val="4A7A0F"/>
          <w:sz w:val="23"/>
          <w:szCs w:val="23"/>
        </w:rPr>
        <w:t xml:space="preserve">Positions Dashboard</w:t>
      </w:r>
    </w:p>
    <w:p>
      <w:pPr>
        <w:pStyle w:val="ListParagraph"/>
        <w:numPr>
          <w:ilvl w:val="0"/>
          <w:numId w:val="3"/>
        </w:numPr>
        <w:spacing w:after="80" w:line="268"/>
      </w:pPr>
      <w:r>
        <w:rPr>
          <w:rFonts w:ascii="Aptos" w:cs="Aptos" w:eastAsia="Aptos" w:hAnsi="Aptos"/>
          <w:color w:val="1A1F16"/>
          <w:sz w:val="21"/>
          <w:szCs w:val="21"/>
        </w:rPr>
        <w:t xml:space="preserve">One glass card per position: health-factor dial, net APY, fees earned, IL, and buffer-to-liquidation as a distance, not just a number.</w:t>
      </w:r>
    </w:p>
    <w:p>
      <w:pPr>
        <w:pStyle w:val="ListParagraph"/>
        <w:numPr>
          <w:ilvl w:val="0"/>
          <w:numId w:val="3"/>
        </w:numPr>
        <w:spacing w:after="80" w:line="268"/>
      </w:pPr>
      <w:r>
        <w:rPr>
          <w:rFonts w:ascii="Aptos" w:cs="Aptos" w:eastAsia="Aptos" w:hAnsi="Aptos"/>
          <w:color w:val="1A1F16"/>
          <w:sz w:val="21"/>
          <w:szCs w:val="21"/>
        </w:rPr>
        <w:t xml:space="preserve">Manual override + emergency exit always one tap away.</w:t>
      </w:r>
    </w:p>
    <w:p>
      <w:pPr>
        <w:pStyle w:val="Heading3"/>
        <w:spacing w:after="60" w:before="180"/>
      </w:pPr>
      <w:r>
        <w:rPr>
          <w:rFonts w:ascii="Aptos" w:cs="Aptos" w:eastAsia="Aptos" w:hAnsi="Aptos"/>
          <w:b/>
          <w:bCs/>
          <w:color w:val="4A7A0F"/>
          <w:sz w:val="23"/>
          <w:szCs w:val="23"/>
        </w:rPr>
        <w:t xml:space="preserve">Settings / Agent permissions</w:t>
      </w:r>
    </w:p>
    <w:p>
      <w:pPr>
        <w:pStyle w:val="ListParagraph"/>
        <w:numPr>
          <w:ilvl w:val="0"/>
          <w:numId w:val="3"/>
        </w:numPr>
        <w:spacing w:after="80" w:line="268"/>
      </w:pPr>
      <w:r>
        <w:rPr>
          <w:rFonts w:ascii="Aptos" w:cs="Aptos" w:eastAsia="Aptos" w:hAnsi="Aptos"/>
          <w:color w:val="1A1F16"/>
          <w:sz w:val="21"/>
          <w:szCs w:val="21"/>
        </w:rPr>
        <w:t xml:space="preserve">The session-key panel is the trust centerpiece: which tokens are whitelisted, per-trade and daily caps, trading window, position cap — shown as the on-chain cage they are.</w:t>
      </w:r>
    </w:p>
    <w:p>
      <w:pPr>
        <w:pStyle w:val="ListParagraph"/>
        <w:numPr>
          <w:ilvl w:val="0"/>
          <w:numId w:val="3"/>
        </w:numPr>
        <w:spacing w:after="80" w:line="268"/>
      </w:pPr>
      <w:r>
        <w:rPr>
          <w:rFonts w:ascii="Aptos" w:cs="Aptos" w:eastAsia="Aptos" w:hAnsi="Aptos"/>
          <w:color w:val="1A1F16"/>
          <w:sz w:val="21"/>
          <w:szCs w:val="21"/>
        </w:rPr>
        <w:t xml:space="preserve">A prominent Revoke control (epoch bump wipes the key). Users should feel the kill switch is always in reach.</w:t>
      </w:r>
    </w:p>
    <w:p>
      <w:r>
        <w:br w:type="page"/>
      </w:r>
    </w:p>
    <w:p>
      <w:pPr>
        <w:pStyle w:val="Heading1"/>
        <w:spacing w:after="140" w:before="360"/>
      </w:pPr>
      <w:r>
        <w:rPr>
          <w:rFonts w:ascii="Aptos" w:cs="Aptos" w:eastAsia="Aptos" w:hAnsi="Aptos"/>
          <w:b/>
          <w:bCs/>
          <w:color w:val="4A7A0F"/>
        </w:rPr>
        <w:t xml:space="preserve">5.  Component architecture</w:t>
      </w:r>
    </w:p>
    <w:p>
      <w:pPr>
        <w:spacing w:after="120" w:line="276"/>
      </w:pPr>
      <w:r>
        <w:rPr>
          <w:rFonts w:ascii="Aptos" w:cs="Aptos" w:eastAsia="Aptos" w:hAnsi="Aptos"/>
          <w:color w:val="1A1F16"/>
          <w:sz w:val="21"/>
          <w:szCs w:val="21"/>
        </w:rPr>
        <w:t xml:space="preserve">A small set of primitives composes every screen. Build these first; the screens are arrangements of them.</w:t>
      </w:r>
    </w:p>
    <w:tbl>
      <w:tblPr>
        <w:tblW w:type="dxa" w:w="9360"/>
        <w:tblBorders>
          <w:top w:val="single" w:color="D8E0C8" w:sz="2"/>
          <w:left w:val="none"/>
          <w:bottom w:val="single" w:color="D8E0C8" w:sz="2"/>
          <w:right w:val="none"/>
          <w:insideH w:val="single" w:color="E4EAD6" w:sz="2"/>
          <w:insideV w:val="single" w:color="E4EAD6" w:sz="2"/>
        </w:tblBorders>
      </w:tblPr>
      <w:tblGrid>
        <w:gridCol w:w="2621"/>
        <w:gridCol w:w="6739"/>
      </w:tblGrid>
      <w:tr>
        <w:trPr>
          <w:tblHeader/>
        </w:trPr>
        <w:tc>
          <w:tcPr>
            <w:tcW w:type="dxa" w:w="2621"/>
            <w:shd w:fill="4A7A0F" w:val="clear"/>
            <w:tcMar>
              <w:top w:type="dxa" w:w="70"/>
              <w:left w:type="dxa" w:w="110"/>
              <w:bottom w:type="dxa" w:w="70"/>
              <w:right w:type="dxa" w:w="110"/>
            </w:tcMar>
          </w:tcPr>
          <w:p>
            <w:r>
              <w:rPr>
                <w:rFonts w:ascii="Aptos" w:cs="Aptos" w:eastAsia="Aptos" w:hAnsi="Aptos"/>
                <w:b/>
                <w:bCs/>
                <w:color w:val="FFFFFF"/>
                <w:sz w:val="19"/>
                <w:szCs w:val="19"/>
              </w:rPr>
              <w:t xml:space="preserve">Component</w:t>
            </w:r>
          </w:p>
        </w:tc>
        <w:tc>
          <w:tcPr>
            <w:tcW w:type="dxa" w:w="6739"/>
            <w:shd w:fill="4A7A0F" w:val="clear"/>
            <w:tcMar>
              <w:top w:type="dxa" w:w="70"/>
              <w:left w:type="dxa" w:w="110"/>
              <w:bottom w:type="dxa" w:w="70"/>
              <w:right w:type="dxa" w:w="110"/>
            </w:tcMar>
          </w:tcPr>
          <w:p>
            <w:r>
              <w:rPr>
                <w:rFonts w:ascii="Aptos" w:cs="Aptos" w:eastAsia="Aptos" w:hAnsi="Aptos"/>
                <w:b/>
                <w:bCs/>
                <w:color w:val="FFFFFF"/>
                <w:sz w:val="19"/>
                <w:szCs w:val="19"/>
              </w:rPr>
              <w:t xml:space="preserve">Responsibility</w:t>
            </w:r>
          </w:p>
        </w:tc>
      </w:tr>
      <w:tr>
        <w:tc>
          <w:tcPr>
            <w:tcW w:type="dxa" w:w="2621"/>
            <w:shd w:fill="F2F6EA" w:val="clear"/>
            <w:tcMar>
              <w:top w:type="dxa" w:w="60"/>
              <w:left w:type="dxa" w:w="110"/>
              <w:bottom w:type="dxa" w:w="60"/>
              <w:right w:type="dxa" w:w="110"/>
            </w:tcMar>
          </w:tcPr>
          <w:p>
            <w:pPr>
              <w:spacing w:after="20" w:line="252"/>
            </w:pPr>
            <w:r>
              <w:rPr>
                <w:rFonts w:ascii="Consolas" w:cs="Consolas" w:eastAsia="Consolas" w:hAnsi="Consolas"/>
                <w:color w:val="2A3320"/>
                <w:sz w:val="19"/>
                <w:szCs w:val="19"/>
              </w:rPr>
              <w:t xml:space="preserve">&lt;GlassSurface&gt;</w:t>
            </w:r>
          </w:p>
        </w:tc>
        <w:tc>
          <w:tcPr>
            <w:tcW w:type="dxa" w:w="6739"/>
            <w:shd w:fill="F2F6EA"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Frosted panel with the top-highlight lip. The base of everything visual.</w:t>
            </w:r>
          </w:p>
        </w:tc>
      </w:tr>
      <w:tr>
        <w:tc>
          <w:tcPr>
            <w:tcW w:type="dxa" w:w="2621"/>
            <w:shd w:fill="FFFFFF" w:val="clear"/>
            <w:tcMar>
              <w:top w:type="dxa" w:w="60"/>
              <w:left w:type="dxa" w:w="110"/>
              <w:bottom w:type="dxa" w:w="60"/>
              <w:right w:type="dxa" w:w="110"/>
            </w:tcMar>
          </w:tcPr>
          <w:p>
            <w:pPr>
              <w:spacing w:after="20" w:line="252"/>
            </w:pPr>
            <w:r>
              <w:rPr>
                <w:rFonts w:ascii="Consolas" w:cs="Consolas" w:eastAsia="Consolas" w:hAnsi="Consolas"/>
                <w:color w:val="2A3320"/>
                <w:sz w:val="19"/>
                <w:szCs w:val="19"/>
              </w:rPr>
              <w:t xml:space="preserve">&lt;LiquidLogo&gt;</w:t>
            </w:r>
          </w:p>
        </w:tc>
        <w:tc>
          <w:tcPr>
            <w:tcW w:type="dxa" w:w="6739"/>
            <w:shd w:fill="FFFFFF"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The animated hero mark; reduced-motion falls back to a static glossy render.</w:t>
            </w:r>
          </w:p>
        </w:tc>
      </w:tr>
      <w:tr>
        <w:tc>
          <w:tcPr>
            <w:tcW w:type="dxa" w:w="2621"/>
            <w:shd w:fill="F2F6EA" w:val="clear"/>
            <w:tcMar>
              <w:top w:type="dxa" w:w="60"/>
              <w:left w:type="dxa" w:w="110"/>
              <w:bottom w:type="dxa" w:w="60"/>
              <w:right w:type="dxa" w:w="110"/>
            </w:tcMar>
          </w:tcPr>
          <w:p>
            <w:pPr>
              <w:spacing w:after="20" w:line="252"/>
            </w:pPr>
            <w:r>
              <w:rPr>
                <w:rFonts w:ascii="Consolas" w:cs="Consolas" w:eastAsia="Consolas" w:hAnsi="Consolas"/>
                <w:color w:val="2A3320"/>
                <w:sz w:val="19"/>
                <w:szCs w:val="19"/>
              </w:rPr>
              <w:t xml:space="preserve">&lt;TxPreview&gt;</w:t>
            </w:r>
          </w:p>
        </w:tc>
        <w:tc>
          <w:tcPr>
            <w:tcW w:type="dxa" w:w="6739"/>
            <w:shd w:fill="F2F6EA"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Unsigned-payload card: explanation, outcome, risk, Simulate / Sign.</w:t>
            </w:r>
          </w:p>
        </w:tc>
      </w:tr>
      <w:tr>
        <w:tc>
          <w:tcPr>
            <w:tcW w:type="dxa" w:w="2621"/>
            <w:shd w:fill="FFFFFF" w:val="clear"/>
            <w:tcMar>
              <w:top w:type="dxa" w:w="60"/>
              <w:left w:type="dxa" w:w="110"/>
              <w:bottom w:type="dxa" w:w="60"/>
              <w:right w:type="dxa" w:w="110"/>
            </w:tcMar>
          </w:tcPr>
          <w:p>
            <w:pPr>
              <w:spacing w:after="20" w:line="252"/>
            </w:pPr>
            <w:r>
              <w:rPr>
                <w:rFonts w:ascii="Consolas" w:cs="Consolas" w:eastAsia="Consolas" w:hAnsi="Consolas"/>
                <w:color w:val="2A3320"/>
                <w:sz w:val="19"/>
                <w:szCs w:val="19"/>
              </w:rPr>
              <w:t xml:space="preserve">&lt;LoopGraph&gt;</w:t>
            </w:r>
          </w:p>
        </w:tc>
        <w:tc>
          <w:tcPr>
            <w:tcW w:type="dxa" w:w="6739"/>
            <w:shd w:fill="FFFFFF"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SVG/Canvas node-edge diagram with flowing-liquid edges.</w:t>
            </w:r>
          </w:p>
        </w:tc>
      </w:tr>
      <w:tr>
        <w:tc>
          <w:tcPr>
            <w:tcW w:type="dxa" w:w="2621"/>
            <w:shd w:fill="F2F6EA" w:val="clear"/>
            <w:tcMar>
              <w:top w:type="dxa" w:w="60"/>
              <w:left w:type="dxa" w:w="110"/>
              <w:bottom w:type="dxa" w:w="60"/>
              <w:right w:type="dxa" w:w="110"/>
            </w:tcMar>
          </w:tcPr>
          <w:p>
            <w:pPr>
              <w:spacing w:after="20" w:line="252"/>
            </w:pPr>
            <w:r>
              <w:rPr>
                <w:rFonts w:ascii="Consolas" w:cs="Consolas" w:eastAsia="Consolas" w:hAnsi="Consolas"/>
                <w:color w:val="2A3320"/>
                <w:sz w:val="19"/>
                <w:szCs w:val="19"/>
              </w:rPr>
              <w:t xml:space="preserve">&lt;HealthDial&gt;</w:t>
            </w:r>
          </w:p>
        </w:tc>
        <w:tc>
          <w:tcPr>
            <w:tcW w:type="dxa" w:w="6739"/>
            <w:shd w:fill="F2F6EA"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Radial health-factor gauge with color states.</w:t>
            </w:r>
          </w:p>
        </w:tc>
      </w:tr>
      <w:tr>
        <w:tc>
          <w:tcPr>
            <w:tcW w:type="dxa" w:w="2621"/>
            <w:shd w:fill="FFFFFF" w:val="clear"/>
            <w:tcMar>
              <w:top w:type="dxa" w:w="60"/>
              <w:left w:type="dxa" w:w="110"/>
              <w:bottom w:type="dxa" w:w="60"/>
              <w:right w:type="dxa" w:w="110"/>
            </w:tcMar>
          </w:tcPr>
          <w:p>
            <w:pPr>
              <w:spacing w:after="20" w:line="252"/>
            </w:pPr>
            <w:r>
              <w:rPr>
                <w:rFonts w:ascii="Consolas" w:cs="Consolas" w:eastAsia="Consolas" w:hAnsi="Consolas"/>
                <w:color w:val="2A3320"/>
                <w:sz w:val="19"/>
                <w:szCs w:val="19"/>
              </w:rPr>
              <w:t xml:space="preserve">&lt;LegitimacyBadge&gt;</w:t>
            </w:r>
          </w:p>
        </w:tc>
        <w:tc>
          <w:tcPr>
            <w:tcW w:type="dxa" w:w="6739"/>
            <w:shd w:fill="FFFFFF"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Market legitimacy score with breakdown on hover/tap.</w:t>
            </w:r>
          </w:p>
        </w:tc>
      </w:tr>
      <w:tr>
        <w:tc>
          <w:tcPr>
            <w:tcW w:type="dxa" w:w="2621"/>
            <w:shd w:fill="F2F6EA" w:val="clear"/>
            <w:tcMar>
              <w:top w:type="dxa" w:w="60"/>
              <w:left w:type="dxa" w:w="110"/>
              <w:bottom w:type="dxa" w:w="60"/>
              <w:right w:type="dxa" w:w="110"/>
            </w:tcMar>
          </w:tcPr>
          <w:p>
            <w:pPr>
              <w:spacing w:after="20" w:line="252"/>
            </w:pPr>
            <w:r>
              <w:rPr>
                <w:rFonts w:ascii="Consolas" w:cs="Consolas" w:eastAsia="Consolas" w:hAnsi="Consolas"/>
                <w:color w:val="2A3320"/>
                <w:sz w:val="19"/>
                <w:szCs w:val="19"/>
              </w:rPr>
              <w:t xml:space="preserve">&lt;RiskChip&gt;</w:t>
            </w:r>
          </w:p>
        </w:tc>
        <w:tc>
          <w:tcPr>
            <w:tcW w:type="dxa" w:w="6739"/>
            <w:shd w:fill="F2F6EA"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Compact risk level; consistent color language across the app.</w:t>
            </w:r>
          </w:p>
        </w:tc>
      </w:tr>
      <w:tr>
        <w:tc>
          <w:tcPr>
            <w:tcW w:type="dxa" w:w="2621"/>
            <w:shd w:fill="FFFFFF" w:val="clear"/>
            <w:tcMar>
              <w:top w:type="dxa" w:w="60"/>
              <w:left w:type="dxa" w:w="110"/>
              <w:bottom w:type="dxa" w:w="60"/>
              <w:right w:type="dxa" w:w="110"/>
            </w:tcMar>
          </w:tcPr>
          <w:p>
            <w:pPr>
              <w:spacing w:after="20" w:line="252"/>
            </w:pPr>
            <w:r>
              <w:rPr>
                <w:rFonts w:ascii="Consolas" w:cs="Consolas" w:eastAsia="Consolas" w:hAnsi="Consolas"/>
                <w:color w:val="2A3320"/>
                <w:sz w:val="19"/>
                <w:szCs w:val="19"/>
              </w:rPr>
              <w:t xml:space="preserve">&lt;PermissionPanel&gt;</w:t>
            </w:r>
          </w:p>
        </w:tc>
        <w:tc>
          <w:tcPr>
            <w:tcW w:type="dxa" w:w="6739"/>
            <w:shd w:fill="FFFFFF"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Session-key scopes + revoke; reads on-chain policy state.</w:t>
            </w:r>
          </w:p>
        </w:tc>
      </w:tr>
      <w:tr>
        <w:tc>
          <w:tcPr>
            <w:tcW w:type="dxa" w:w="2621"/>
            <w:shd w:fill="F2F6EA" w:val="clear"/>
            <w:tcMar>
              <w:top w:type="dxa" w:w="60"/>
              <w:left w:type="dxa" w:w="110"/>
              <w:bottom w:type="dxa" w:w="60"/>
              <w:right w:type="dxa" w:w="110"/>
            </w:tcMar>
          </w:tcPr>
          <w:p>
            <w:pPr>
              <w:spacing w:after="20" w:line="252"/>
            </w:pPr>
            <w:r>
              <w:rPr>
                <w:rFonts w:ascii="Consolas" w:cs="Consolas" w:eastAsia="Consolas" w:hAnsi="Consolas"/>
                <w:color w:val="2A3320"/>
                <w:sz w:val="19"/>
                <w:szCs w:val="19"/>
              </w:rPr>
              <w:t xml:space="preserve">&lt;AgentMessage&gt;</w:t>
            </w:r>
          </w:p>
        </w:tc>
        <w:tc>
          <w:tcPr>
            <w:tcW w:type="dxa" w:w="6739"/>
            <w:shd w:fill="F2F6EA"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Chat bubble that can host any rich block above.</w:t>
            </w:r>
          </w:p>
        </w:tc>
      </w:tr>
    </w:tbl>
    <w:p>
      <w:pPr>
        <w:spacing w:after="100"/>
      </w:pPr>
    </w:p>
    <w:tbl>
      <w:tblPr>
        <w:tblW w:type="pct" w:w="100%"/>
        <w:tblBorders>
          <w:top w:val="single" w:color="7CB518" w:sz="2"/>
          <w:left w:val="single" w:color="7CB518" w:sz="18"/>
          <w:bottom w:val="single" w:color="7CB518" w:sz="2"/>
          <w:right w:val="single" w:color="7CB518" w:sz="2"/>
          <w:insideH w:val="none"/>
          <w:insideV w:val="none"/>
        </w:tblBorders>
      </w:tblPr>
      <w:tblGrid>
        <w:gridCol w:w="100"/>
      </w:tblGrid>
      <w:tr>
        <w:tc>
          <w:tcPr>
            <w:shd w:fill="F2F6EA" w:val="clear"/>
            <w:tcMar>
              <w:top w:type="dxa" w:w="120"/>
              <w:left w:type="dxa" w:w="200"/>
              <w:bottom w:type="dxa" w:w="120"/>
              <w:right w:type="dxa" w:w="160"/>
            </w:tcMar>
          </w:tcPr>
          <w:p>
            <w:pPr>
              <w:spacing w:after="60"/>
            </w:pPr>
            <w:r>
              <w:rPr>
                <w:rFonts w:ascii="Aptos" w:cs="Aptos" w:eastAsia="Aptos" w:hAnsi="Aptos"/>
                <w:b/>
                <w:bCs/>
                <w:color w:val="7CB518"/>
                <w:sz w:val="20"/>
                <w:szCs w:val="20"/>
              </w:rPr>
              <w:t xml:space="preserve">State &amp; data</w:t>
            </w:r>
          </w:p>
          <w:p>
            <w:pPr>
              <w:spacing w:after="40" w:line="264"/>
            </w:pPr>
            <w:r>
              <w:rPr>
                <w:rFonts w:ascii="Aptos" w:cs="Aptos" w:eastAsia="Aptos" w:hAnsi="Aptos"/>
                <w:color w:val="1A1F16"/>
                <w:sz w:val="20"/>
                <w:szCs w:val="20"/>
              </w:rPr>
              <w:t xml:space="preserve">Wallet/chain state via wagmi + viem; account abstraction and session keys via Alchemy's wallet APIs (ZeroDev as the alternative). Server state (scanner, positions, sim results) via TanStack Query with WebSocket invalidation so APYs and health factors stay live. Keep all agent-proposed payloads in a pending-signature queue the user can review — never auto-advance.</w:t>
            </w:r>
          </w:p>
        </w:tc>
      </w:tr>
    </w:tbl>
    <w:p>
      <w:r>
        <w:br w:type="page"/>
      </w:r>
    </w:p>
    <w:p>
      <w:pPr>
        <w:pStyle w:val="Heading1"/>
        <w:spacing w:after="140" w:before="360"/>
      </w:pPr>
      <w:r>
        <w:rPr>
          <w:rFonts w:ascii="Aptos" w:cs="Aptos" w:eastAsia="Aptos" w:hAnsi="Aptos"/>
          <w:b/>
          <w:bCs/>
          <w:color w:val="4A7A0F"/>
        </w:rPr>
        <w:t xml:space="preserve">6.  Motion system</w:t>
      </w:r>
    </w:p>
    <w:p>
      <w:pPr>
        <w:spacing w:after="120" w:line="276"/>
      </w:pPr>
      <w:r>
        <w:rPr>
          <w:rFonts w:ascii="Aptos" w:cs="Aptos" w:eastAsia="Aptos" w:hAnsi="Aptos"/>
          <w:color w:val="1A1F16"/>
          <w:sz w:val="21"/>
          <w:szCs w:val="21"/>
        </w:rPr>
        <w:t xml:space="preserve">Motion is rationed into three tiers so the liquid feel stays special.</w:t>
      </w:r>
    </w:p>
    <w:tbl>
      <w:tblPr>
        <w:tblW w:type="dxa" w:w="9360"/>
        <w:tblBorders>
          <w:top w:val="single" w:color="D8E0C8" w:sz="2"/>
          <w:left w:val="none"/>
          <w:bottom w:val="single" w:color="D8E0C8" w:sz="2"/>
          <w:right w:val="none"/>
          <w:insideH w:val="single" w:color="E4EAD6" w:sz="2"/>
          <w:insideV w:val="single" w:color="E4EAD6" w:sz="2"/>
        </w:tblBorders>
      </w:tblPr>
      <w:tblGrid>
        <w:gridCol w:w="1685"/>
        <w:gridCol w:w="3931"/>
        <w:gridCol w:w="3744"/>
      </w:tblGrid>
      <w:tr>
        <w:trPr>
          <w:tblHeader/>
        </w:trPr>
        <w:tc>
          <w:tcPr>
            <w:tcW w:type="dxa" w:w="1685"/>
            <w:shd w:fill="4A7A0F" w:val="clear"/>
            <w:tcMar>
              <w:top w:type="dxa" w:w="70"/>
              <w:left w:type="dxa" w:w="110"/>
              <w:bottom w:type="dxa" w:w="70"/>
              <w:right w:type="dxa" w:w="110"/>
            </w:tcMar>
          </w:tcPr>
          <w:p>
            <w:r>
              <w:rPr>
                <w:rFonts w:ascii="Aptos" w:cs="Aptos" w:eastAsia="Aptos" w:hAnsi="Aptos"/>
                <w:b/>
                <w:bCs/>
                <w:color w:val="FFFFFF"/>
                <w:sz w:val="19"/>
                <w:szCs w:val="19"/>
              </w:rPr>
              <w:t xml:space="preserve">Tier</w:t>
            </w:r>
          </w:p>
        </w:tc>
        <w:tc>
          <w:tcPr>
            <w:tcW w:type="dxa" w:w="3931"/>
            <w:shd w:fill="4A7A0F" w:val="clear"/>
            <w:tcMar>
              <w:top w:type="dxa" w:w="70"/>
              <w:left w:type="dxa" w:w="110"/>
              <w:bottom w:type="dxa" w:w="70"/>
              <w:right w:type="dxa" w:w="110"/>
            </w:tcMar>
          </w:tcPr>
          <w:p>
            <w:r>
              <w:rPr>
                <w:rFonts w:ascii="Aptos" w:cs="Aptos" w:eastAsia="Aptos" w:hAnsi="Aptos"/>
                <w:b/>
                <w:bCs/>
                <w:color w:val="FFFFFF"/>
                <w:sz w:val="19"/>
                <w:szCs w:val="19"/>
              </w:rPr>
              <w:t xml:space="preserve">Where</w:t>
            </w:r>
          </w:p>
        </w:tc>
        <w:tc>
          <w:tcPr>
            <w:tcW w:type="dxa" w:w="3744"/>
            <w:shd w:fill="4A7A0F" w:val="clear"/>
            <w:tcMar>
              <w:top w:type="dxa" w:w="70"/>
              <w:left w:type="dxa" w:w="110"/>
              <w:bottom w:type="dxa" w:w="70"/>
              <w:right w:type="dxa" w:w="110"/>
            </w:tcMar>
          </w:tcPr>
          <w:p>
            <w:r>
              <w:rPr>
                <w:rFonts w:ascii="Aptos" w:cs="Aptos" w:eastAsia="Aptos" w:hAnsi="Aptos"/>
                <w:b/>
                <w:bCs/>
                <w:color w:val="FFFFFF"/>
                <w:sz w:val="19"/>
                <w:szCs w:val="19"/>
              </w:rPr>
              <w:t xml:space="preserve">Rule</w:t>
            </w:r>
          </w:p>
        </w:tc>
      </w:tr>
      <w:tr>
        <w:tc>
          <w:tcPr>
            <w:tcW w:type="dxa" w:w="1685"/>
            <w:shd w:fill="F2F6EA" w:val="clear"/>
            <w:tcMar>
              <w:top w:type="dxa" w:w="60"/>
              <w:left w:type="dxa" w:w="110"/>
              <w:bottom w:type="dxa" w:w="60"/>
              <w:right w:type="dxa" w:w="110"/>
            </w:tcMar>
          </w:tcPr>
          <w:p>
            <w:pPr>
              <w:spacing w:after="20" w:line="252"/>
            </w:pPr>
            <w:r>
              <w:rPr>
                <w:rFonts w:ascii="Aptos" w:cs="Aptos" w:eastAsia="Aptos" w:hAnsi="Aptos"/>
                <w:b/>
                <w:bCs/>
                <w:color w:val="1A1F16"/>
                <w:sz w:val="18"/>
                <w:szCs w:val="18"/>
              </w:rPr>
              <w:t xml:space="preserve">Signature</w:t>
            </w:r>
          </w:p>
        </w:tc>
        <w:tc>
          <w:tcPr>
            <w:tcW w:type="dxa" w:w="3931"/>
            <w:shd w:fill="F2F6EA"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Hero logo; loop-flow edges</w:t>
            </w:r>
          </w:p>
        </w:tc>
        <w:tc>
          <w:tcPr>
            <w:tcW w:type="dxa" w:w="3744"/>
            <w:shd w:fill="F2F6EA"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Slow, liquid, ambient. Exactly two places. Nowhere else.</w:t>
            </w:r>
          </w:p>
        </w:tc>
      </w:tr>
      <w:tr>
        <w:tc>
          <w:tcPr>
            <w:tcW w:type="dxa" w:w="1685"/>
            <w:shd w:fill="FFFFFF" w:val="clear"/>
            <w:tcMar>
              <w:top w:type="dxa" w:w="60"/>
              <w:left w:type="dxa" w:w="110"/>
              <w:bottom w:type="dxa" w:w="60"/>
              <w:right w:type="dxa" w:w="110"/>
            </w:tcMar>
          </w:tcPr>
          <w:p>
            <w:pPr>
              <w:spacing w:after="20" w:line="252"/>
            </w:pPr>
            <w:r>
              <w:rPr>
                <w:rFonts w:ascii="Aptos" w:cs="Aptos" w:eastAsia="Aptos" w:hAnsi="Aptos"/>
                <w:b/>
                <w:bCs/>
                <w:color w:val="1A1F16"/>
                <w:sz w:val="18"/>
                <w:szCs w:val="18"/>
              </w:rPr>
              <w:t xml:space="preserve">Response</w:t>
            </w:r>
          </w:p>
        </w:tc>
        <w:tc>
          <w:tcPr>
            <w:tcW w:type="dxa" w:w="3931"/>
            <w:shd w:fill="FFFFFF"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Open/expand/confirm; nav morph; sign success</w:t>
            </w:r>
          </w:p>
        </w:tc>
        <w:tc>
          <w:tcPr>
            <w:tcW w:type="dxa" w:w="3744"/>
            <w:shd w:fill="FFFFFF"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Spring physics, fast, always tied to a user action. Encouraged.</w:t>
            </w:r>
          </w:p>
        </w:tc>
      </w:tr>
      <w:tr>
        <w:tc>
          <w:tcPr>
            <w:tcW w:type="dxa" w:w="1685"/>
            <w:shd w:fill="F2F6EA" w:val="clear"/>
            <w:tcMar>
              <w:top w:type="dxa" w:w="60"/>
              <w:left w:type="dxa" w:w="110"/>
              <w:bottom w:type="dxa" w:w="60"/>
              <w:right w:type="dxa" w:w="110"/>
            </w:tcMar>
          </w:tcPr>
          <w:p>
            <w:pPr>
              <w:spacing w:after="20" w:line="252"/>
            </w:pPr>
            <w:r>
              <w:rPr>
                <w:rFonts w:ascii="Aptos" w:cs="Aptos" w:eastAsia="Aptos" w:hAnsi="Aptos"/>
                <w:b/>
                <w:bCs/>
                <w:color w:val="1A1F16"/>
                <w:sz w:val="18"/>
                <w:szCs w:val="18"/>
              </w:rPr>
              <w:t xml:space="preserve">Feedback</w:t>
            </w:r>
          </w:p>
        </w:tc>
        <w:tc>
          <w:tcPr>
            <w:tcW w:type="dxa" w:w="3931"/>
            <w:shd w:fill="F2F6EA"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Thinking shimmer, loading, value changes</w:t>
            </w:r>
          </w:p>
        </w:tc>
        <w:tc>
          <w:tcPr>
            <w:tcW w:type="dxa" w:w="3744"/>
            <w:shd w:fill="F2F6EA" w:val="clear"/>
            <w:tcMar>
              <w:top w:type="dxa" w:w="60"/>
              <w:left w:type="dxa" w:w="110"/>
              <w:bottom w:type="dxa" w:w="60"/>
              <w:right w:type="dxa" w:w="110"/>
            </w:tcMar>
          </w:tcPr>
          <w:p>
            <w:pPr>
              <w:spacing w:after="20" w:line="252"/>
            </w:pPr>
            <w:r>
              <w:rPr>
                <w:rFonts w:ascii="Aptos" w:cs="Aptos" w:eastAsia="Aptos" w:hAnsi="Aptos"/>
                <w:color w:val="1A1F16"/>
                <w:sz w:val="18"/>
                <w:szCs w:val="18"/>
              </w:rPr>
              <w:t xml:space="preserve">Subtle, functional. A shimmer, not a spinner; a count-up on APY.</w:t>
            </w:r>
          </w:p>
        </w:tc>
      </w:tr>
    </w:tbl>
    <w:p>
      <w:pPr>
        <w:spacing w:after="100"/>
      </w:pPr>
    </w:p>
    <w:tbl>
      <w:tblPr>
        <w:tblW w:type="pct" w:w="100%"/>
        <w:tblBorders>
          <w:top w:val="single" w:color="7CB518" w:sz="2"/>
          <w:left w:val="single" w:color="7CB518" w:sz="18"/>
          <w:bottom w:val="single" w:color="7CB518" w:sz="2"/>
          <w:right w:val="single" w:color="7CB518" w:sz="2"/>
          <w:insideH w:val="none"/>
          <w:insideV w:val="none"/>
        </w:tblBorders>
      </w:tblPr>
      <w:tblGrid>
        <w:gridCol w:w="100"/>
      </w:tblGrid>
      <w:tr>
        <w:tc>
          <w:tcPr>
            <w:shd w:fill="F2F6EA" w:val="clear"/>
            <w:tcMar>
              <w:top w:type="dxa" w:w="120"/>
              <w:left w:type="dxa" w:w="200"/>
              <w:bottom w:type="dxa" w:w="120"/>
              <w:right w:type="dxa" w:w="160"/>
            </w:tcMar>
          </w:tcPr>
          <w:p>
            <w:pPr>
              <w:spacing w:after="60"/>
            </w:pPr>
            <w:r>
              <w:rPr>
                <w:rFonts w:ascii="Aptos" w:cs="Aptos" w:eastAsia="Aptos" w:hAnsi="Aptos"/>
                <w:b/>
                <w:bCs/>
                <w:color w:val="7CB518"/>
                <w:sz w:val="20"/>
                <w:szCs w:val="20"/>
              </w:rPr>
              <w:t xml:space="preserve">Accessibility floor (non-negotiable)</w:t>
            </w:r>
          </w:p>
          <w:p>
            <w:pPr>
              <w:spacing w:after="40" w:line="264"/>
            </w:pPr>
            <w:r>
              <w:rPr>
                <w:rFonts w:ascii="Aptos" w:cs="Aptos" w:eastAsia="Aptos" w:hAnsi="Aptos"/>
                <w:color w:val="1A1F16"/>
                <w:sz w:val="20"/>
                <w:szCs w:val="20"/>
              </w:rPr>
              <w:t xml:space="preserve">Respect </w:t>
            </w:r>
            <w:r>
              <w:rPr>
                <w:rFonts w:ascii="Consolas" w:cs="Consolas" w:eastAsia="Consolas" w:hAnsi="Consolas"/>
                <w:color w:val="2A3320"/>
                <w:sz w:val="19"/>
                <w:szCs w:val="19"/>
              </w:rPr>
              <w:t xml:space="preserve">prefers-reduced-motion</w:t>
            </w:r>
            <w:r>
              <w:rPr>
                <w:rFonts w:ascii="Aptos" w:cs="Aptos" w:eastAsia="Aptos" w:hAnsi="Aptos"/>
                <w:color w:val="1A1F16"/>
                <w:sz w:val="20"/>
                <w:szCs w:val="20"/>
              </w:rPr>
              <w:t xml:space="preserve"> — the signature animations become static glossy renders. Visible keyboard focus on every interactive element. Color is never the only carrier of meaning (health and risk always pair color with a label or shape). Contrast meets WCAG AA, including green-on-white, which is easy to get wrong — test the deep-lime, not the bright lime, for text.</w:t>
            </w:r>
          </w:p>
        </w:tc>
      </w:tr>
    </w:tbl>
    <w:p>
      <w:r>
        <w:br w:type="page"/>
      </w:r>
    </w:p>
    <w:p>
      <w:pPr>
        <w:pStyle w:val="Heading1"/>
        <w:spacing w:after="140" w:before="360"/>
      </w:pPr>
      <w:r>
        <w:rPr>
          <w:rFonts w:ascii="Aptos" w:cs="Aptos" w:eastAsia="Aptos" w:hAnsi="Aptos"/>
          <w:b/>
          <w:bCs/>
          <w:color w:val="4A7A0F"/>
        </w:rPr>
        <w:t xml:space="preserve">7.  Stack &amp; build order</w:t>
      </w:r>
    </w:p>
    <w:p>
      <w:pPr>
        <w:pStyle w:val="Heading2"/>
        <w:spacing w:after="100" w:before="260"/>
      </w:pPr>
      <w:r>
        <w:rPr>
          <w:rFonts w:ascii="Aptos" w:cs="Aptos" w:eastAsia="Aptos" w:hAnsi="Aptos"/>
          <w:b/>
          <w:bCs/>
          <w:color w:val="1A1F16"/>
        </w:rPr>
        <w:t xml:space="preserve">7.1  Stack</w:t>
      </w:r>
    </w:p>
    <w:p>
      <w:pPr>
        <w:spacing w:after="120" w:line="276"/>
      </w:pPr>
      <w:r>
        <w:rPr>
          <w:rFonts w:ascii="Aptos" w:cs="Aptos" w:eastAsia="Aptos" w:hAnsi="Aptos"/>
          <w:color w:val="1A1F16"/>
          <w:sz w:val="21"/>
          <w:szCs w:val="21"/>
        </w:rPr>
        <w:t xml:space="preserve">Next.js 15 + TypeScript · wagmi / viem · RainbowKit (connect) · Alchemy wallet APIs (AA + session keys) · Tailwind + shadcn/ui · Framer Motion · TanStack Query. Mobile-first and responsive throughout.</w:t>
      </w:r>
    </w:p>
    <w:p>
      <w:pPr>
        <w:pStyle w:val="Heading2"/>
        <w:spacing w:after="100" w:before="260"/>
      </w:pPr>
      <w:r>
        <w:rPr>
          <w:rFonts w:ascii="Aptos" w:cs="Aptos" w:eastAsia="Aptos" w:hAnsi="Aptos"/>
          <w:b/>
          <w:bCs/>
          <w:color w:val="1A1F16"/>
        </w:rPr>
        <w:t xml:space="preserve">7.2  Recommended build order</w:t>
      </w:r>
    </w:p>
    <w:p>
      <w:pPr>
        <w:pStyle w:val="ListParagraph"/>
        <w:numPr>
          <w:ilvl w:val="0"/>
          <w:numId w:val="2"/>
        </w:numPr>
        <w:spacing w:after="80" w:line="268"/>
      </w:pPr>
      <w:r>
        <w:rPr>
          <w:rFonts w:ascii="Aptos" w:cs="Aptos" w:eastAsia="Aptos" w:hAnsi="Aptos"/>
          <w:color w:val="1A1F16"/>
          <w:sz w:val="21"/>
          <w:szCs w:val="21"/>
        </w:rPr>
        <w:t xml:space="preserve">Tokens + </w:t>
      </w:r>
      <w:r>
        <w:rPr>
          <w:rFonts w:ascii="Consolas" w:cs="Consolas" w:eastAsia="Consolas" w:hAnsi="Consolas"/>
          <w:color w:val="2A3320"/>
          <w:sz w:val="19"/>
          <w:szCs w:val="19"/>
        </w:rPr>
        <w:t xml:space="preserve">&lt;GlassSurface&gt;</w:t>
      </w:r>
      <w:r>
        <w:rPr>
          <w:rFonts w:ascii="Aptos" w:cs="Aptos" w:eastAsia="Aptos" w:hAnsi="Aptos"/>
          <w:color w:val="1A1F16"/>
          <w:sz w:val="21"/>
          <w:szCs w:val="21"/>
        </w:rPr>
        <w:t xml:space="preserve"> + typography — lock the material before any screen.</w:t>
      </w:r>
    </w:p>
    <w:p>
      <w:pPr>
        <w:pStyle w:val="ListParagraph"/>
        <w:numPr>
          <w:ilvl w:val="0"/>
          <w:numId w:val="2"/>
        </w:numPr>
        <w:spacing w:after="80" w:line="268"/>
      </w:pPr>
      <w:r>
        <w:rPr>
          <w:rFonts w:ascii="Aptos" w:cs="Aptos" w:eastAsia="Aptos" w:hAnsi="Aptos"/>
          <w:color w:val="1A1F16"/>
          <w:sz w:val="21"/>
          <w:szCs w:val="21"/>
        </w:rPr>
        <w:t xml:space="preserve">Wallet connect + AA session-key plumbing + jurisdiction gating — the non-negotiable entry path.</w:t>
      </w:r>
    </w:p>
    <w:p>
      <w:pPr>
        <w:pStyle w:val="ListParagraph"/>
        <w:numPr>
          <w:ilvl w:val="0"/>
          <w:numId w:val="2"/>
        </w:numPr>
        <w:spacing w:after="80" w:line="268"/>
      </w:pPr>
      <w:r>
        <w:rPr>
          <w:rFonts w:ascii="Aptos" w:cs="Aptos" w:eastAsia="Aptos" w:hAnsi="Aptos"/>
          <w:color w:val="1A1F16"/>
          <w:sz w:val="21"/>
          <w:szCs w:val="21"/>
        </w:rPr>
        <w:t xml:space="preserve">Chat shell + </w:t>
      </w:r>
      <w:r>
        <w:rPr>
          <w:rFonts w:ascii="Consolas" w:cs="Consolas" w:eastAsia="Consolas" w:hAnsi="Consolas"/>
          <w:color w:val="2A3320"/>
          <w:sz w:val="19"/>
          <w:szCs w:val="19"/>
        </w:rPr>
        <w:t xml:space="preserve">&lt;AgentMessage&gt;</w:t>
      </w:r>
      <w:r>
        <w:rPr>
          <w:rFonts w:ascii="Aptos" w:cs="Aptos" w:eastAsia="Aptos" w:hAnsi="Aptos"/>
          <w:color w:val="1A1F16"/>
          <w:sz w:val="21"/>
          <w:szCs w:val="21"/>
        </w:rPr>
        <w:t xml:space="preserve"> + </w:t>
      </w:r>
      <w:r>
        <w:rPr>
          <w:rFonts w:ascii="Consolas" w:cs="Consolas" w:eastAsia="Consolas" w:hAnsi="Consolas"/>
          <w:color w:val="2A3320"/>
          <w:sz w:val="19"/>
          <w:szCs w:val="19"/>
        </w:rPr>
        <w:t xml:space="preserve">&lt;TxPreview&gt;</w:t>
      </w:r>
      <w:r>
        <w:rPr>
          <w:rFonts w:ascii="Aptos" w:cs="Aptos" w:eastAsia="Aptos" w:hAnsi="Aptos"/>
          <w:color w:val="1A1F16"/>
          <w:sz w:val="21"/>
          <w:szCs w:val="21"/>
        </w:rPr>
        <w:t xml:space="preserve"> — the smallest thing that shows the thesis.</w:t>
      </w:r>
    </w:p>
    <w:p>
      <w:pPr>
        <w:pStyle w:val="ListParagraph"/>
        <w:numPr>
          <w:ilvl w:val="0"/>
          <w:numId w:val="2"/>
        </w:numPr>
        <w:spacing w:after="80" w:line="268"/>
      </w:pPr>
      <w:r>
        <w:rPr>
          <w:rFonts w:ascii="Aptos" w:cs="Aptos" w:eastAsia="Aptos" w:hAnsi="Aptos"/>
          <w:color w:val="1A1F16"/>
          <w:sz w:val="21"/>
          <w:szCs w:val="21"/>
        </w:rPr>
        <w:t xml:space="preserve">Scanner + </w:t>
      </w:r>
      <w:r>
        <w:rPr>
          <w:rFonts w:ascii="Consolas" w:cs="Consolas" w:eastAsia="Consolas" w:hAnsi="Consolas"/>
          <w:color w:val="2A3320"/>
          <w:sz w:val="19"/>
          <w:szCs w:val="19"/>
        </w:rPr>
        <w:t xml:space="preserve">&lt;LegitimacyBadge&gt;</w:t>
      </w:r>
      <w:r>
        <w:rPr>
          <w:rFonts w:ascii="Aptos" w:cs="Aptos" w:eastAsia="Aptos" w:hAnsi="Aptos"/>
          <w:color w:val="1A1F16"/>
          <w:sz w:val="21"/>
          <w:szCs w:val="21"/>
        </w:rPr>
        <w:t xml:space="preserve"> — curated opportunities feeding the chat.</w:t>
      </w:r>
    </w:p>
    <w:p>
      <w:pPr>
        <w:pStyle w:val="ListParagraph"/>
        <w:numPr>
          <w:ilvl w:val="0"/>
          <w:numId w:val="2"/>
        </w:numPr>
        <w:spacing w:after="80" w:line="268"/>
      </w:pPr>
      <w:r>
        <w:rPr>
          <w:rFonts w:ascii="Aptos" w:cs="Aptos" w:eastAsia="Aptos" w:hAnsi="Aptos"/>
          <w:color w:val="1A1F16"/>
          <w:sz w:val="21"/>
          <w:szCs w:val="21"/>
        </w:rPr>
        <w:t xml:space="preserve">Positions dashboard + </w:t>
      </w:r>
      <w:r>
        <w:rPr>
          <w:rFonts w:ascii="Consolas" w:cs="Consolas" w:eastAsia="Consolas" w:hAnsi="Consolas"/>
          <w:color w:val="2A3320"/>
          <w:sz w:val="19"/>
          <w:szCs w:val="19"/>
        </w:rPr>
        <w:t xml:space="preserve">&lt;HealthDial&gt;</w:t>
      </w:r>
      <w:r>
        <w:rPr>
          <w:rFonts w:ascii="Aptos" w:cs="Aptos" w:eastAsia="Aptos" w:hAnsi="Aptos"/>
          <w:color w:val="1A1F16"/>
          <w:sz w:val="21"/>
          <w:szCs w:val="21"/>
        </w:rPr>
        <w:t xml:space="preserve"> — monitoring for anything entered.</w:t>
      </w:r>
    </w:p>
    <w:p>
      <w:pPr>
        <w:pStyle w:val="ListParagraph"/>
        <w:numPr>
          <w:ilvl w:val="0"/>
          <w:numId w:val="2"/>
        </w:numPr>
        <w:spacing w:after="80" w:line="268"/>
      </w:pPr>
      <w:r>
        <w:rPr>
          <w:rFonts w:ascii="Aptos" w:cs="Aptos" w:eastAsia="Aptos" w:hAnsi="Aptos"/>
          <w:color w:val="1A1F16"/>
          <w:sz w:val="21"/>
          <w:szCs w:val="21"/>
        </w:rPr>
        <w:t xml:space="preserve">Loop Explorer + </w:t>
      </w:r>
      <w:r>
        <w:rPr>
          <w:rFonts w:ascii="Consolas" w:cs="Consolas" w:eastAsia="Consolas" w:hAnsi="Consolas"/>
          <w:color w:val="2A3320"/>
          <w:sz w:val="19"/>
          <w:szCs w:val="19"/>
        </w:rPr>
        <w:t xml:space="preserve">&lt;LoopGraph&gt;</w:t>
      </w:r>
      <w:r>
        <w:rPr>
          <w:rFonts w:ascii="Aptos" w:cs="Aptos" w:eastAsia="Aptos" w:hAnsi="Aptos"/>
          <w:color w:val="1A1F16"/>
          <w:sz w:val="21"/>
          <w:szCs w:val="21"/>
        </w:rPr>
        <w:t xml:space="preserve"> — the second signature surface.</w:t>
      </w:r>
    </w:p>
    <w:p>
      <w:pPr>
        <w:pStyle w:val="ListParagraph"/>
        <w:numPr>
          <w:ilvl w:val="0"/>
          <w:numId w:val="2"/>
        </w:numPr>
        <w:spacing w:after="80" w:line="268"/>
      </w:pPr>
      <w:r>
        <w:rPr>
          <w:rFonts w:ascii="Aptos" w:cs="Aptos" w:eastAsia="Aptos" w:hAnsi="Aptos"/>
          <w:color w:val="1A1F16"/>
          <w:sz w:val="21"/>
          <w:szCs w:val="21"/>
        </w:rPr>
        <w:t xml:space="preserve">Settings / </w:t>
      </w:r>
      <w:r>
        <w:rPr>
          <w:rFonts w:ascii="Consolas" w:cs="Consolas" w:eastAsia="Consolas" w:hAnsi="Consolas"/>
          <w:color w:val="2A3320"/>
          <w:sz w:val="19"/>
          <w:szCs w:val="19"/>
        </w:rPr>
        <w:t xml:space="preserve">&lt;PermissionPanel&gt;</w:t>
      </w:r>
      <w:r>
        <w:rPr>
          <w:rFonts w:ascii="Aptos" w:cs="Aptos" w:eastAsia="Aptos" w:hAnsi="Aptos"/>
          <w:color w:val="1A1F16"/>
          <w:sz w:val="21"/>
          <w:szCs w:val="21"/>
        </w:rPr>
        <w:t xml:space="preserve"> + Strategy Builder — advanced control last.</w:t>
      </w:r>
    </w:p>
    <w:p>
      <w:pPr>
        <w:spacing w:after="120"/>
      </w:pPr>
    </w:p>
    <w:tbl>
      <w:tblPr>
        <w:tblW w:type="pct" w:w="100%"/>
        <w:tblBorders>
          <w:top w:val="single" w:color="7CB518" w:sz="2"/>
          <w:left w:val="single" w:color="7CB518" w:sz="18"/>
          <w:bottom w:val="single" w:color="7CB518" w:sz="2"/>
          <w:right w:val="single" w:color="7CB518" w:sz="2"/>
          <w:insideH w:val="none"/>
          <w:insideV w:val="none"/>
        </w:tblBorders>
      </w:tblPr>
      <w:tblGrid>
        <w:gridCol w:w="100"/>
      </w:tblGrid>
      <w:tr>
        <w:tc>
          <w:tcPr>
            <w:shd w:fill="F2F6EA" w:val="clear"/>
            <w:tcMar>
              <w:top w:type="dxa" w:w="120"/>
              <w:left w:type="dxa" w:w="200"/>
              <w:bottom w:type="dxa" w:w="120"/>
              <w:right w:type="dxa" w:w="160"/>
            </w:tcMar>
          </w:tcPr>
          <w:p>
            <w:pPr>
              <w:spacing w:after="60"/>
            </w:pPr>
            <w:r>
              <w:rPr>
                <w:rFonts w:ascii="Aptos" w:cs="Aptos" w:eastAsia="Aptos" w:hAnsi="Aptos"/>
                <w:b/>
                <w:bCs/>
                <w:color w:val="7CB518"/>
                <w:sz w:val="20"/>
                <w:szCs w:val="20"/>
              </w:rPr>
              <w:t xml:space="preserve">How this maps to the architecture plan</w:t>
            </w:r>
          </w:p>
          <w:p>
            <w:pPr>
              <w:spacing w:after="40" w:line="264"/>
            </w:pPr>
            <w:r>
              <w:rPr>
                <w:rFonts w:ascii="Aptos" w:cs="Aptos" w:eastAsia="Aptos" w:hAnsi="Aptos"/>
                <w:color w:val="1A1F16"/>
                <w:sz w:val="20"/>
                <w:szCs w:val="20"/>
              </w:rPr>
              <w:t xml:space="preserve">Phase 1 of the v2 roadmap ships steps 1–5 here (a non-US user can chat, get a curated opportunity, and enter one position with full simulation). Phase 2 adds steps 6–7 (the loop visualizer and the permission cage wired to on-chain state). Build the frontend in that order and it stays in lockstep with the contract and agent work.</w:t>
            </w:r>
          </w:p>
        </w:tc>
      </w:tr>
    </w:tbl>
    <w:p>
      <w:pPr>
        <w:spacing w:after="160"/>
      </w:pPr>
    </w:p>
    <w:p>
      <w:pPr>
        <w:pBdr>
          <w:bottom w:val="single" w:color="D8E0C8" w:sz="6"/>
        </w:pBdr>
        <w:spacing w:after="80" w:before="80"/>
      </w:pPr>
    </w:p>
    <w:p>
      <w:pPr>
        <w:spacing w:after="120" w:line="276"/>
      </w:pPr>
      <w:r>
        <w:rPr>
          <w:rFonts w:ascii="Aptos" w:cs="Aptos" w:eastAsia="Aptos" w:hAnsi="Aptos"/>
          <w:i/>
          <w:iCs/>
          <w:color w:val="5A6152"/>
          <w:sz w:val="19"/>
          <w:szCs w:val="19"/>
        </w:rPr>
        <w:t xml:space="preserve">This is the standalone frontend plan for Cirq — companion to the v2 architecture document. The visual direction (liquid white + lemon-green, 3D glass, concentrated motion) is derived directly from the supplied logo; the screen, component, and build-order specs are ready to hand to a frontend engineer or to drive a first build.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7CB518"/>
      </w:rPr>
    </w:lvl>
  </w:abstractNum>
  <w:abstractNum w:abstractNumId="3" w15:restartNumberingAfterBreak="0">
    <w:multiLevelType w:val="hybridMultilevel"/>
    <w:lvl w:ilvl="0" w15:tentative="1">
      <w:start w:val="1"/>
      <w:numFmt w:val="decimal"/>
      <w:lvlText w:val="%1."/>
      <w:lvlJc w:val="left"/>
      <w:pPr>
        <w:ind w:left="360" w:hanging="220"/>
      </w:pPr>
      <w:rPr>
        <w:b/>
        <w:bCs/>
        <w:color w:val="4A7A0F"/>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A1F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pPr>
    <w:rPr>
      <w:rFonts w:ascii="Aptos" w:cs="Aptos" w:eastAsia="Aptos" w:hAnsi="Aptos"/>
      <w:b/>
      <w:bCs/>
      <w:color w:val="4A7A0F"/>
      <w:sz w:val="34"/>
      <w:szCs w:val="34"/>
    </w:rPr>
  </w:style>
  <w:style w:type="paragraph" w:styleId="Heading2">
    <w:name w:val="Heading 2"/>
    <w:basedOn w:val="Normal"/>
    <w:next w:val="Normal"/>
    <w:qFormat/>
    <w:pPr>
      <w:spacing w:after="100" w:before="260"/>
    </w:pPr>
    <w:rPr>
      <w:rFonts w:ascii="Aptos" w:cs="Aptos" w:eastAsia="Aptos" w:hAnsi="Aptos"/>
      <w:b/>
      <w:bCs/>
      <w:color w:val="1A1F16"/>
      <w:sz w:val="26"/>
      <w:szCs w:val="26"/>
    </w:rPr>
  </w:style>
  <w:style w:type="paragraph" w:styleId="Heading3">
    <w:name w:val="Heading 3"/>
    <w:basedOn w:val="Normal"/>
    <w:next w:val="Normal"/>
    <w:qFormat/>
    <w:pPr>
      <w:spacing w:after="60" w:before="180"/>
    </w:pPr>
    <w:rPr>
      <w:rFonts w:ascii="Aptos" w:cs="Aptos" w:eastAsia="Aptos" w:hAnsi="Aptos"/>
      <w:b/>
      <w:bCs/>
      <w:color w:val="4A7A0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Cirq — Frontend &amp; UX Plan</dc:title>
  <dc:creator>Cirq</dc:creator>
  <cp:lastModifiedBy>Un-named</cp:lastModifiedBy>
  <cp:revision>1</cp:revision>
  <dcterms:created xsi:type="dcterms:W3CDTF">2026-09-16T16:10:50.578Z</dcterms:created>
  <dcterms:modified xsi:type="dcterms:W3CDTF">2026-09-16T16:10:50.588Z</dcterms:modified>
</cp:coreProperties>
</file>

<file path=docProps/custom.xml><?xml version="1.0" encoding="utf-8"?>
<Properties xmlns="http://schemas.openxmlformats.org/officeDocument/2006/custom-properties" xmlns:vt="http://schemas.openxmlformats.org/officeDocument/2006/docPropsVTypes"/>
</file>