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1440" w:after="720" w:line="276" w:lineRule="auto"/>
        <w:jc w:val="center"/>
      </w:pPr>
      <w:r>
        <w:rPr>
          <w:rFonts w:ascii="Times New Roman" w:hAnsi="Times New Roman"/>
          <w:b/>
          <w:i w:val="0"/>
          <w:color w:val="000000"/>
          <w:sz w:val="28"/>
        </w:rPr>
        <w:t>RESEARCH PROPOSAL</w:t>
      </w:r>
    </w:p>
    <w:p>
      <w:pPr>
        <w:keepNext w:val="0"/>
        <w:spacing w:before="0" w:after="1080" w:line="288" w:lineRule="auto"/>
        <w:jc w:val="center"/>
      </w:pPr>
      <w:r>
        <w:rPr>
          <w:rFonts w:ascii="Times New Roman" w:hAnsi="Times New Roman"/>
          <w:b/>
          <w:i w:val="0"/>
          <w:color w:val="000000"/>
          <w:sz w:val="32"/>
        </w:rPr>
        <w:t>Behavior-Selected Eigenspace Compression for Efficient Answer Readout in Continuous-Reasoning Language Models</w:t>
      </w:r>
    </w:p>
    <w:p>
      <w:pPr>
        <w:keepNext w:val="0"/>
        <w:spacing w:before="0" w:after="200" w:line="276" w:lineRule="auto"/>
        <w:jc w:val="center"/>
      </w:pPr>
      <w:r>
        <w:rPr>
          <w:rFonts w:ascii="Times New Roman" w:hAnsi="Times New Roman"/>
          <w:b w:val="0"/>
          <w:i w:val="0"/>
          <w:color w:val="000000"/>
          <w:sz w:val="24"/>
        </w:rPr>
        <w:t>Submitted by</w:t>
      </w:r>
    </w:p>
    <w:p>
      <w:pPr>
        <w:keepNext w:val="0"/>
        <w:spacing w:before="0" w:after="120" w:line="276" w:lineRule="auto"/>
        <w:jc w:val="center"/>
      </w:pPr>
      <w:r>
        <w:rPr>
          <w:rFonts w:ascii="Times New Roman" w:hAnsi="Times New Roman"/>
          <w:b/>
          <w:i w:val="0"/>
          <w:color w:val="000000"/>
          <w:sz w:val="26"/>
        </w:rPr>
        <w:t>Muhammad Jon Raza</w:t>
      </w:r>
    </w:p>
    <w:p>
      <w:pPr>
        <w:keepNext w:val="0"/>
        <w:spacing w:before="0" w:after="840" w:line="276" w:lineRule="auto"/>
        <w:jc w:val="center"/>
      </w:pPr>
      <w:r>
        <w:rPr>
          <w:rFonts w:ascii="Times New Roman" w:hAnsi="Times New Roman"/>
          <w:b w:val="0"/>
          <w:i w:val="0"/>
          <w:color w:val="000000"/>
          <w:sz w:val="24"/>
        </w:rPr>
        <w:t>Roll Number: 27100293</w:t>
      </w:r>
    </w:p>
    <w:p>
      <w:pPr>
        <w:keepNext w:val="0"/>
        <w:spacing w:before="0" w:after="0" w:line="276" w:lineRule="auto"/>
        <w:jc w:val="center"/>
      </w:pPr>
      <w:r>
        <w:rPr>
          <w:rFonts w:ascii="Times New Roman" w:hAnsi="Times New Roman"/>
          <w:b w:val="0"/>
          <w:i w:val="0"/>
          <w:color w:val="000000"/>
          <w:sz w:val="24"/>
        </w:rPr>
        <w:t>August 2026</w:t>
      </w:r>
    </w:p>
    <w:p>
      <w:r>
        <w:rPr>
          <w:color w:val="000000"/>
        </w:rPr>
        <w:br w:type="page"/>
      </w:r>
    </w:p>
    <w:p>
      <w:pPr>
        <w:pStyle w:val="Heading1"/>
        <w:keepNext/>
        <w:spacing w:before="240" w:after="120" w:line="276" w:lineRule="auto"/>
      </w:pPr>
      <w:r>
        <w:rPr>
          <w:rFonts w:ascii="Times New Roman" w:hAnsi="Times New Roman"/>
          <w:b/>
          <w:i w:val="0"/>
          <w:color w:val="000000"/>
          <w:sz w:val="28"/>
        </w:rPr>
        <w:t>Abstract</w:t>
      </w:r>
    </w:p>
    <w:p>
      <w:pPr>
        <w:keepNext w:val="0"/>
        <w:spacing w:before="0" w:after="120" w:line="276" w:lineRule="auto"/>
      </w:pPr>
      <w:r>
        <w:rPr>
          <w:rFonts w:ascii="Times New Roman" w:hAnsi="Times New Roman"/>
          <w:b w:val="0"/>
          <w:i w:val="0"/>
          <w:color w:val="000000"/>
          <w:sz w:val="24"/>
        </w:rPr>
        <w:t>Continuous-reasoning language models replace long written chains of thought with a small number of continuous hidden states. This reduces the number of generated reasoning tokens, but the model must still convert its final 768-dimensional state into scores for all 50,257 vocabulary tokens. This proposal investigates whether the answer-bearing part of that state can be identified through covariance-matrix eigendecomposition and used to construct a lower-cost vocabulary readout. Preliminary experiments on the released CODI GPT-2 checkpoint identified 28 eigendirections, indexed 4 through 31, at the final answer-cue state. Although these directions explain only 11.31 percent of state variance, retaining them preserves 87.8 percent of baseline numeric exact-match accuracy, while removing them reduces accuracy by 30.48 percentage points. A rank-32 variant preserves 94.4 percent of baseline accuracy. By projecting the vocabulary matrix into the selected eigenspace offline, the online readout can operate on 28 or 32 coordinates rather than 768. An isolated Tesla T4 benchmark measured the full head at 1,327 microseconds and the rank-32 head at 117 microseconds, an 11.3-fold component-level speedup. The proposed research will integrate this readout into end-to-end generation, compare it against established compression methods, and test whether behavior-selected eigendirections transfer across tasks and checkpoints.</w:t>
      </w:r>
    </w:p>
    <w:p>
      <w:pPr>
        <w:pStyle w:val="Heading1"/>
        <w:keepNext/>
        <w:spacing w:before="240" w:after="120" w:line="276" w:lineRule="auto"/>
      </w:pPr>
      <w:r>
        <w:rPr>
          <w:rFonts w:ascii="Times New Roman" w:hAnsi="Times New Roman"/>
          <w:b/>
          <w:i w:val="0"/>
          <w:color w:val="000000"/>
          <w:sz w:val="28"/>
        </w:rPr>
        <w:t>1. Introduction</w:t>
      </w:r>
    </w:p>
    <w:p>
      <w:pPr>
        <w:keepNext w:val="0"/>
        <w:spacing w:before="0" w:after="120" w:line="276" w:lineRule="auto"/>
      </w:pPr>
      <w:r>
        <w:rPr>
          <w:rFonts w:ascii="Times New Roman" w:hAnsi="Times New Roman"/>
          <w:b w:val="0"/>
          <w:i w:val="0"/>
          <w:color w:val="000000"/>
          <w:sz w:val="24"/>
        </w:rPr>
        <w:t>Language models normally express reasoning as text. Each reasoning token requires another pass through the transformer and another vocabulary prediction. CODI, or Continuous Chain-of-Thought via Self-Distillation, instead learns a short sequence of continuous thoughts and aligns the student's internal answer representation with that of an explicit-reasoning teacher [1]. The released CODI system used in this project is based on GPT-2 small [2]. It contains twelve transformer blocks, has a representation width of 768, and uses a vocabulary of 50,257 tokens. During CODI inference, a question is encoded, six continuous latent iterations are executed through the shared transformer, and the model then receives the answer cue. The final representation at the colon in 'The answer is:' is transformed by the language-model head into one score for every vocabulary token.</w:t>
      </w:r>
    </w:p>
    <w:p>
      <w:pPr>
        <w:keepNext w:val="0"/>
        <w:spacing w:before="0" w:after="120" w:line="276" w:lineRule="auto"/>
      </w:pPr>
      <w:r>
        <w:rPr>
          <w:rFonts w:ascii="Times New Roman" w:hAnsi="Times New Roman"/>
          <w:b w:val="0"/>
          <w:i w:val="0"/>
          <w:color w:val="000000"/>
          <w:sz w:val="24"/>
        </w:rPr>
        <w:t>The language-model head is therefore a natural optimization target. Its learned vocabulary matrix can be viewed as 50,257 token-specific detectors, each acting on the 768 coordinates of the final hidden state. A normal readout calculates a dense matrix product for every generated token. If answer choice at this endpoint depends mainly on a much smaller behaviorally important subspace, the head can be reorganized so that only coordinates in that subspace are used online.</w:t>
      </w:r>
    </w:p>
    <w:p>
      <w:pPr>
        <w:pStyle w:val="Heading1"/>
        <w:keepNext/>
        <w:spacing w:before="240" w:after="120" w:line="276" w:lineRule="auto"/>
      </w:pPr>
      <w:r>
        <w:rPr>
          <w:rFonts w:ascii="Times New Roman" w:hAnsi="Times New Roman"/>
          <w:b/>
          <w:i w:val="0"/>
          <w:color w:val="000000"/>
          <w:sz w:val="28"/>
        </w:rPr>
        <w:t>2. Problem Statement</w:t>
      </w:r>
    </w:p>
    <w:p>
      <w:pPr>
        <w:keepNext w:val="0"/>
        <w:spacing w:before="0" w:after="120" w:line="276" w:lineRule="auto"/>
      </w:pPr>
      <w:r>
        <w:rPr>
          <w:rFonts w:ascii="Times New Roman" w:hAnsi="Times New Roman"/>
          <w:b w:val="0"/>
          <w:i w:val="0"/>
          <w:color w:val="000000"/>
          <w:sz w:val="24"/>
        </w:rPr>
        <w:t>Existing low-rank compression commonly preserves directions with high variance or minimizes reconstruction error. Those objectives need not preserve task accuracy. Our preliminary CODI result demonstrates a strong separation between variance and answer contribution: the first four eigendirections contain 82.31 percent of variance but preserve only 6.1 percent of baseline exact-match accuracy when retained alone. In contrast, eigendirections 4 through 31 contain only 11.31 percent of variance but preserve 87.8 percent of baseline accuracy. A compression method that blindly keeps only the highest-variance directions can therefore discard the dimensions that matter for the answer.</w:t>
      </w:r>
    </w:p>
    <w:p>
      <w:pPr>
        <w:keepNext w:val="0"/>
        <w:spacing w:before="0" w:after="120" w:line="276" w:lineRule="auto"/>
      </w:pPr>
      <w:r>
        <w:rPr>
          <w:rFonts w:ascii="Times New Roman" w:hAnsi="Times New Roman"/>
          <w:b w:val="0"/>
          <w:i w:val="0"/>
          <w:color w:val="000000"/>
          <w:sz w:val="24"/>
        </w:rPr>
        <w:t>The research problem is to determine whether behavior-selected eigendirections can support a practical, reliable, and generalizable low-rank answer readout for continuous-reasoning models. The central challenge is not simply reducing matrix size. It is preserving the model's answer ranking while proving that any measured speedup survives integration into the complete autoregressive generation pipeline.</w:t>
      </w:r>
    </w:p>
    <w:p>
      <w:pPr>
        <w:pStyle w:val="Heading1"/>
        <w:keepNext/>
        <w:spacing w:before="240" w:after="120" w:line="276" w:lineRule="auto"/>
      </w:pPr>
      <w:r>
        <w:rPr>
          <w:rFonts w:ascii="Times New Roman" w:hAnsi="Times New Roman"/>
          <w:b/>
          <w:i w:val="0"/>
          <w:color w:val="000000"/>
          <w:sz w:val="28"/>
        </w:rPr>
        <w:t>3. Aim, Objectives, and Research Questions</w:t>
      </w:r>
    </w:p>
    <w:p>
      <w:pPr>
        <w:keepNext/>
        <w:spacing w:before="0" w:after="60" w:line="276" w:lineRule="auto"/>
      </w:pPr>
      <w:r>
        <w:rPr>
          <w:rFonts w:ascii="Times New Roman" w:hAnsi="Times New Roman"/>
          <w:b/>
          <w:i w:val="0"/>
          <w:color w:val="000000"/>
          <w:sz w:val="24"/>
        </w:rPr>
        <w:t>Aim</w:t>
      </w:r>
    </w:p>
    <w:p>
      <w:pPr>
        <w:keepNext w:val="0"/>
        <w:spacing w:before="0" w:after="120" w:line="276" w:lineRule="auto"/>
      </w:pPr>
      <w:r>
        <w:rPr>
          <w:rFonts w:ascii="Times New Roman" w:hAnsi="Times New Roman"/>
          <w:b w:val="0"/>
          <w:i w:val="0"/>
          <w:color w:val="000000"/>
          <w:sz w:val="24"/>
        </w:rPr>
        <w:t>To develop and evaluate an eigenspace-guided method for reducing the computational cost of CODI's vocabulary readout while retaining mathematical reasoning accuracy.</w:t>
      </w:r>
    </w:p>
    <w:p>
      <w:pPr>
        <w:keepNext/>
        <w:spacing w:before="0" w:after="60" w:line="276" w:lineRule="auto"/>
      </w:pPr>
      <w:r>
        <w:rPr>
          <w:rFonts w:ascii="Times New Roman" w:hAnsi="Times New Roman"/>
          <w:b/>
          <w:i w:val="0"/>
          <w:color w:val="000000"/>
          <w:sz w:val="24"/>
        </w:rPr>
        <w:t>Objectives</w:t>
      </w:r>
    </w:p>
    <w:p>
      <w:pPr>
        <w:pStyle w:val="ListNumber"/>
        <w:spacing w:after="60" w:line="276" w:lineRule="auto"/>
        <w:ind w:left="403" w:hanging="259"/>
      </w:pPr>
      <w:r>
        <w:rPr>
          <w:rFonts w:ascii="Times New Roman" w:hAnsi="Times New Roman"/>
          <w:b w:val="0"/>
          <w:i w:val="0"/>
          <w:color w:val="000000"/>
          <w:sz w:val="24"/>
        </w:rPr>
        <w:t>Identify stable answer-bearing eigendirections at CODI's final answer-cue representation using held-out calibration and causal retention/removal interventions.</w:t>
      </w:r>
    </w:p>
    <w:p>
      <w:pPr>
        <w:pStyle w:val="ListNumber"/>
        <w:spacing w:after="60" w:line="276" w:lineRule="auto"/>
        <w:ind w:left="403" w:hanging="259"/>
      </w:pPr>
      <w:r>
        <w:rPr>
          <w:rFonts w:ascii="Times New Roman" w:hAnsi="Times New Roman"/>
          <w:b w:val="0"/>
          <w:i w:val="0"/>
          <w:color w:val="000000"/>
          <w:sz w:val="24"/>
        </w:rPr>
        <w:t>Convert the selected eigenspace into rank-28 and rank-32 language-model heads through an offline transformation of the learned vocabulary matrix.</w:t>
      </w:r>
    </w:p>
    <w:p>
      <w:pPr>
        <w:pStyle w:val="ListNumber"/>
        <w:spacing w:after="60" w:line="276" w:lineRule="auto"/>
        <w:ind w:left="403" w:hanging="259"/>
      </w:pPr>
      <w:r>
        <w:rPr>
          <w:rFonts w:ascii="Times New Roman" w:hAnsi="Times New Roman"/>
          <w:b w:val="0"/>
          <w:i w:val="0"/>
          <w:color w:val="000000"/>
          <w:sz w:val="24"/>
        </w:rPr>
        <w:t>Measure exact-match accuracy, token-ranking agreement, numerical error, memory use, and end-to-end latency.</w:t>
      </w:r>
    </w:p>
    <w:p>
      <w:pPr>
        <w:pStyle w:val="ListNumber"/>
        <w:spacing w:after="60" w:line="276" w:lineRule="auto"/>
        <w:ind w:left="403" w:hanging="259"/>
      </w:pPr>
      <w:r>
        <w:rPr>
          <w:rFonts w:ascii="Times New Roman" w:hAnsi="Times New Roman"/>
          <w:b w:val="0"/>
          <w:i w:val="0"/>
          <w:color w:val="000000"/>
          <w:sz w:val="24"/>
        </w:rPr>
        <w:t>Compare behavior-selected eigendecomposition with weight-only decomposition, variance-ranked selection, activation-aware compression, and vocabulary-shortlisting baselines.</w:t>
      </w:r>
    </w:p>
    <w:p>
      <w:pPr>
        <w:pStyle w:val="ListNumber"/>
        <w:spacing w:after="60" w:line="276" w:lineRule="auto"/>
        <w:ind w:left="403" w:hanging="259"/>
      </w:pPr>
      <w:r>
        <w:rPr>
          <w:rFonts w:ascii="Times New Roman" w:hAnsi="Times New Roman"/>
          <w:b w:val="0"/>
          <w:i w:val="0"/>
          <w:color w:val="000000"/>
          <w:sz w:val="24"/>
        </w:rPr>
        <w:t>Test robustness across data splits, random seeds, mathematical reasoning datasets, and compatible checkpoints.</w:t>
      </w:r>
    </w:p>
    <w:p>
      <w:pPr>
        <w:keepNext/>
        <w:spacing w:before="120" w:after="60" w:line="276" w:lineRule="auto"/>
      </w:pPr>
      <w:r>
        <w:rPr>
          <w:rFonts w:ascii="Times New Roman" w:hAnsi="Times New Roman"/>
          <w:b/>
          <w:i w:val="0"/>
          <w:color w:val="000000"/>
          <w:sz w:val="24"/>
        </w:rPr>
        <w:t>Research questions</w:t>
      </w:r>
    </w:p>
    <w:p>
      <w:pPr>
        <w:pStyle w:val="ListBullet"/>
        <w:spacing w:after="60" w:line="276" w:lineRule="auto"/>
        <w:ind w:left="360" w:hanging="216"/>
      </w:pPr>
      <w:r>
        <w:rPr>
          <w:rFonts w:ascii="Times New Roman" w:hAnsi="Times New Roman"/>
          <w:b w:val="0"/>
          <w:i w:val="0"/>
          <w:color w:val="000000"/>
          <w:sz w:val="24"/>
        </w:rPr>
        <w:t>How many eigendirections are sufficient and necessary for CODI's answer accuracy at the forced answer cue?</w:t>
      </w:r>
    </w:p>
    <w:p>
      <w:pPr>
        <w:pStyle w:val="ListBullet"/>
        <w:spacing w:after="60" w:line="276" w:lineRule="auto"/>
        <w:ind w:left="360" w:hanging="216"/>
      </w:pPr>
      <w:r>
        <w:rPr>
          <w:rFonts w:ascii="Times New Roman" w:hAnsi="Times New Roman"/>
          <w:b w:val="0"/>
          <w:i w:val="0"/>
          <w:color w:val="000000"/>
          <w:sz w:val="24"/>
        </w:rPr>
        <w:t>Does behavior-based eigendirection selection preserve accuracy better than selection based only on variance or matrix reconstruction error?</w:t>
      </w:r>
    </w:p>
    <w:p>
      <w:pPr>
        <w:pStyle w:val="ListBullet"/>
        <w:spacing w:after="60" w:line="276" w:lineRule="auto"/>
        <w:ind w:left="360" w:hanging="216"/>
      </w:pPr>
      <w:r>
        <w:rPr>
          <w:rFonts w:ascii="Times New Roman" w:hAnsi="Times New Roman"/>
          <w:b w:val="0"/>
          <w:i w:val="0"/>
          <w:color w:val="000000"/>
          <w:sz w:val="24"/>
        </w:rPr>
        <w:t>Does the reduction in language-model-head operations produce a measurable end-to-end inference improvement?</w:t>
      </w:r>
    </w:p>
    <w:p>
      <w:pPr>
        <w:pStyle w:val="ListBullet"/>
        <w:spacing w:after="60" w:line="276" w:lineRule="auto"/>
        <w:ind w:left="360" w:hanging="216"/>
      </w:pPr>
      <w:r>
        <w:rPr>
          <w:rFonts w:ascii="Times New Roman" w:hAnsi="Times New Roman"/>
          <w:b w:val="0"/>
          <w:i w:val="0"/>
          <w:color w:val="000000"/>
          <w:sz w:val="24"/>
        </w:rPr>
        <w:t>Are the selected eigendirections stable across calibration samples, tasks, and model checkpoints?</w:t>
      </w:r>
    </w:p>
    <w:p>
      <w:pPr>
        <w:pStyle w:val="Heading1"/>
        <w:keepNext/>
        <w:spacing w:before="240" w:after="120" w:line="276" w:lineRule="auto"/>
      </w:pPr>
      <w:r>
        <w:rPr>
          <w:rFonts w:ascii="Times New Roman" w:hAnsi="Times New Roman"/>
          <w:b/>
          <w:i w:val="0"/>
          <w:color w:val="000000"/>
          <w:sz w:val="28"/>
        </w:rPr>
        <w:t>4. Background and Related Work</w:t>
      </w:r>
    </w:p>
    <w:p>
      <w:pPr>
        <w:pStyle w:val="Heading2"/>
        <w:keepNext/>
        <w:spacing w:before="180" w:after="80" w:line="276" w:lineRule="auto"/>
      </w:pPr>
      <w:r>
        <w:rPr>
          <w:rFonts w:ascii="Times New Roman" w:hAnsi="Times New Roman"/>
          <w:b/>
          <w:i w:val="0"/>
          <w:color w:val="000000"/>
          <w:sz w:val="24"/>
        </w:rPr>
        <w:t>4.1 Continuous reasoning and CODI</w:t>
      </w:r>
    </w:p>
    <w:p>
      <w:pPr>
        <w:keepNext w:val="0"/>
        <w:spacing w:before="0" w:after="120" w:line="276" w:lineRule="auto"/>
      </w:pPr>
      <w:r>
        <w:rPr>
          <w:rFonts w:ascii="Times New Roman" w:hAnsi="Times New Roman"/>
          <w:b w:val="0"/>
          <w:i w:val="0"/>
          <w:color w:val="000000"/>
          <w:sz w:val="24"/>
        </w:rPr>
        <w:t>CODI trains a shared model in teacher and student modes. The teacher receives an explicit chain of thought, whereas the student performs a fixed number of continuous latent iterations. Training combines language-model objectives with alignment between teacher and student representations at the final answer-generating position [1]. At inference, the teacher branch is not required: the student processes the question, performs the latent iterations, consumes the answer cue, and generates answer tokens through the normal vocabulary head.</w:t>
      </w:r>
    </w:p>
    <w:p>
      <w:pPr>
        <w:pStyle w:val="Heading2"/>
        <w:keepNext/>
        <w:spacing w:before="180" w:after="80" w:line="276" w:lineRule="auto"/>
      </w:pPr>
      <w:r>
        <w:rPr>
          <w:rFonts w:ascii="Times New Roman" w:hAnsi="Times New Roman"/>
          <w:b/>
          <w:i w:val="0"/>
          <w:color w:val="000000"/>
          <w:sz w:val="24"/>
        </w:rPr>
        <w:t>4.2 Low-rank and activation-aware compression</w:t>
      </w:r>
    </w:p>
    <w:p>
      <w:pPr>
        <w:keepNext w:val="0"/>
        <w:spacing w:before="0" w:after="120" w:line="276" w:lineRule="auto"/>
      </w:pPr>
      <w:r>
        <w:rPr>
          <w:rFonts w:ascii="Times New Roman" w:hAnsi="Times New Roman"/>
          <w:b w:val="0"/>
          <w:i w:val="0"/>
          <w:color w:val="000000"/>
          <w:sz w:val="24"/>
        </w:rPr>
        <w:t>Low-rank factorization replaces one large linear map with two smaller maps. Fisher-weighted factorization showed that minimizing ordinary reconstruction error can be misaligned with task accuracy and proposed weighting parameters by their effect on model predictions [4]. SliceGPT uses orthogonal transformations and post-training dimensional reduction across transformer representations [5]. ASVD adapts matrix decomposition to observed activation distributions [6], while FLAT-LLM performs training-free transformations using eigendirections of activation spaces [7]. These studies establish that model behavior and activation statistics should influence compression, but they do not test CODI's answer-cue endpoint or the particular non-leading eigenspace identified here.</w:t>
      </w:r>
    </w:p>
    <w:p>
      <w:pPr>
        <w:pStyle w:val="Heading2"/>
        <w:keepNext/>
        <w:spacing w:before="180" w:after="80" w:line="276" w:lineRule="auto"/>
      </w:pPr>
      <w:r>
        <w:rPr>
          <w:rFonts w:ascii="Times New Roman" w:hAnsi="Times New Roman"/>
          <w:b/>
          <w:i w:val="0"/>
          <w:color w:val="000000"/>
          <w:sz w:val="24"/>
        </w:rPr>
        <w:t>4.3 Vocabulary-head acceleration</w:t>
      </w:r>
    </w:p>
    <w:p>
      <w:pPr>
        <w:keepNext w:val="0"/>
        <w:spacing w:before="0" w:after="120" w:line="276" w:lineRule="auto"/>
      </w:pPr>
      <w:r>
        <w:rPr>
          <w:rFonts w:ascii="Times New Roman" w:hAnsi="Times New Roman"/>
          <w:b w:val="0"/>
          <w:i w:val="0"/>
          <w:color w:val="000000"/>
          <w:sz w:val="24"/>
        </w:rPr>
        <w:t>Adaptive softmax reduces expected vocabulary computation by exploiting token-frequency structure [8], and vocabulary clustering predicts a smaller set of candidate tokens before projection [9]. SlimSpec directly applies a low-rank vocabulary head to a speculative-decoding draft model while retaining the full vocabulary [10]. ARCHead combines a compressed output head with an activation-derived metric [11]. These approaches confirm that the vocabulary projection can be a meaningful bottleneck. The proposed study differs by selecting the hidden subspace using causal answer-accuracy interventions in a continuous-reasoning model rather than only frequency, reconstruction error, or a learned auxiliary objective.</w:t>
      </w:r>
    </w:p>
    <w:p>
      <w:pPr>
        <w:pStyle w:val="Heading1"/>
        <w:keepNext/>
        <w:spacing w:before="240" w:after="120" w:line="276" w:lineRule="auto"/>
      </w:pPr>
      <w:r>
        <w:rPr>
          <w:rFonts w:ascii="Times New Roman" w:hAnsi="Times New Roman"/>
          <w:b/>
          <w:i w:val="0"/>
          <w:color w:val="000000"/>
          <w:sz w:val="28"/>
        </w:rPr>
        <w:t>5. Preliminary Work Completed</w:t>
      </w:r>
    </w:p>
    <w:p>
      <w:pPr>
        <w:pStyle w:val="Heading2"/>
        <w:keepNext/>
        <w:spacing w:before="180" w:after="80" w:line="276" w:lineRule="auto"/>
      </w:pPr>
      <w:r>
        <w:rPr>
          <w:rFonts w:ascii="Times New Roman" w:hAnsi="Times New Roman"/>
          <w:b/>
          <w:i w:val="0"/>
          <w:color w:val="000000"/>
          <w:sz w:val="24"/>
        </w:rPr>
        <w:t>5.1 Reproduction and state collection</w:t>
      </w:r>
    </w:p>
    <w:p>
      <w:pPr>
        <w:keepNext w:val="0"/>
        <w:spacing w:before="0" w:after="120" w:line="276" w:lineRule="auto"/>
      </w:pPr>
      <w:r>
        <w:rPr>
          <w:rFonts w:ascii="Times New Roman" w:hAnsi="Times New Roman"/>
          <w:b w:val="0"/>
          <w:i w:val="0"/>
          <w:color w:val="000000"/>
          <w:sz w:val="24"/>
        </w:rPr>
        <w:t>The author-released zen-E/CODI-gpt2 checkpoint was reproduced in a pinned software environment. Native GSM8K numeric exact match was 0.4359. Under the forced answer cue used for intervention, baseline accuracy was 0.4337, corresponding to 572 correct answers among 1,319 test questions. All confirmatory runs used float32. For eigenspace construction, final answer-cue representations were collected from 2,048 GSM8K training questions. Each representation was the 768-dimensional state labelled state 12, produced after the twelve GPT-2 blocks at the colon in the answer cue and immediately before vocabulary readout.</w:t>
      </w:r>
    </w:p>
    <w:p>
      <w:pPr>
        <w:pStyle w:val="Heading2"/>
        <w:keepNext/>
        <w:spacing w:before="180" w:after="80" w:line="276" w:lineRule="auto"/>
      </w:pPr>
      <w:r>
        <w:rPr>
          <w:rFonts w:ascii="Times New Roman" w:hAnsi="Times New Roman"/>
          <w:b/>
          <w:i w:val="0"/>
          <w:color w:val="000000"/>
          <w:sz w:val="24"/>
        </w:rPr>
        <w:t>5.2 Covariance eigendecomposition</w:t>
      </w:r>
    </w:p>
    <w:p>
      <w:pPr>
        <w:keepNext w:val="0"/>
        <w:spacing w:before="0" w:after="120" w:line="276" w:lineRule="auto"/>
      </w:pPr>
      <w:r>
        <w:rPr>
          <w:rFonts w:ascii="Times New Roman" w:hAnsi="Times New Roman"/>
          <w:b w:val="0"/>
          <w:i w:val="0"/>
          <w:color w:val="000000"/>
          <w:sz w:val="24"/>
        </w:rPr>
        <w:t>Let each collected endpoint representation be h_i and let mu be their mean. The centered rows were stacked into a matrix X. The 768 by 768 covariance matrix was then constructed as:</w:t>
      </w:r>
    </w:p>
    <w:p>
      <w:pPr>
        <w:keepNext w:val="0"/>
        <w:spacing w:before="60" w:after="140" w:line="276" w:lineRule="auto"/>
        <w:jc w:val="center"/>
      </w:pPr>
      <w:r>
        <w:rPr>
          <w:rFonts w:ascii="Times New Roman" w:hAnsi="Times New Roman"/>
          <w:b w:val="0"/>
          <w:i w:val="0"/>
          <w:color w:val="000000"/>
          <w:sz w:val="22"/>
        </w:rPr>
        <w:t>C = (1 / (n - 1)) X^T X</w:t>
      </w:r>
    </w:p>
    <w:p>
      <w:pPr>
        <w:keepNext w:val="0"/>
        <w:spacing w:before="0" w:after="120" w:line="276" w:lineRule="auto"/>
      </w:pPr>
      <w:r>
        <w:rPr>
          <w:rFonts w:ascii="Times New Roman" w:hAnsi="Times New Roman"/>
          <w:b w:val="0"/>
          <w:i w:val="0"/>
          <w:color w:val="000000"/>
          <w:sz w:val="24"/>
        </w:rPr>
        <w:t>Because C is symmetric, it can be decomposed into orthonormal eigendirections and their associated eigenvalues:</w:t>
      </w:r>
    </w:p>
    <w:p>
      <w:pPr>
        <w:keepNext w:val="0"/>
        <w:spacing w:before="60" w:after="140" w:line="276" w:lineRule="auto"/>
        <w:jc w:val="center"/>
      </w:pPr>
      <w:r>
        <w:rPr>
          <w:rFonts w:ascii="Times New Roman" w:hAnsi="Times New Roman"/>
          <w:b w:val="0"/>
          <w:i w:val="0"/>
          <w:color w:val="000000"/>
          <w:sz w:val="22"/>
        </w:rPr>
        <w:t>C = U Lambda U^T</w:t>
      </w:r>
    </w:p>
    <w:p>
      <w:pPr>
        <w:keepNext w:val="0"/>
        <w:spacing w:before="0" w:after="120" w:line="276" w:lineRule="auto"/>
      </w:pPr>
      <w:r>
        <w:rPr>
          <w:rFonts w:ascii="Times New Roman" w:hAnsi="Times New Roman"/>
          <w:b w:val="0"/>
          <w:i w:val="0"/>
          <w:color w:val="000000"/>
          <w:sz w:val="24"/>
        </w:rPr>
        <w:t>The columns of U define directions in the original 768-dimensional representation space. The eigenvalues in Lambda measure how strongly the calibration states vary along those directions. Retention interventions replaced the unselected component of a test state with the calibration mean. Removal interventions did the reverse. Full greedy decoding was then used to measure numeric exact match, so the result reflects complete answers rather than only the first generated token.</w:t>
      </w:r>
    </w:p>
    <w:p>
      <w:pPr>
        <w:pStyle w:val="Heading2"/>
        <w:keepNext/>
        <w:spacing w:before="180" w:after="80" w:line="276" w:lineRule="auto"/>
      </w:pPr>
      <w:r>
        <w:rPr>
          <w:rFonts w:ascii="Times New Roman" w:hAnsi="Times New Roman"/>
          <w:b/>
          <w:i w:val="0"/>
          <w:color w:val="000000"/>
          <w:sz w:val="24"/>
        </w:rPr>
        <w:t>5.3 Discovery of 28 answer-bearing directions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3139"/>
            <w:vAlign w:val="center"/>
            <w:tcMar>
              <w:top w:w="80" w:type="dxa"/>
              <w:start w:w="100" w:type="dxa"/>
              <w:bottom w:w="80" w:type="dxa"/>
              <w:end w:w="100" w:type="dxa"/>
            </w:tcMar>
            <w:tcBorders>
              <w:top w:val="single" w:sz="4" w:space="0" w:color="000000"/>
              <w:left w:val="single" w:sz="4" w:space="0" w:color="000000"/>
              <w:bottom w:val="single" w:sz="4" w:space="0" w:color="000000"/>
              <w:right w:val="single" w:sz="4" w:space="0" w:color="000000"/>
            </w:tcBorders>
          </w:tcPr>
          <w:p>
            <w:pPr>
              <w:spacing w:after="0"/>
              <w:jc w:val="center"/>
            </w:pPr>
            <w:r>
              <w:rPr>
                <w:rFonts w:ascii="Times New Roman" w:hAnsi="Times New Roman"/>
                <w:b/>
                <w:i w:val="0"/>
                <w:color w:val="000000"/>
                <w:sz w:val="18"/>
              </w:rPr>
              <w:t>Condition</w:t>
            </w:r>
          </w:p>
        </w:tc>
        <w:tc>
          <w:tcPr>
            <w:tcW w:type="dxa" w:w="1195"/>
            <w:vAlign w:val="center"/>
            <w:tcMar>
              <w:top w:w="80" w:type="dxa"/>
              <w:start w:w="100" w:type="dxa"/>
              <w:bottom w:w="80" w:type="dxa"/>
              <w:end w:w="100" w:type="dxa"/>
            </w:tcMar>
            <w:tcBorders>
              <w:top w:val="single" w:sz="4" w:space="0" w:color="000000"/>
              <w:left w:val="single" w:sz="4" w:space="0" w:color="000000"/>
              <w:bottom w:val="single" w:sz="4" w:space="0" w:color="000000"/>
              <w:right w:val="single" w:sz="4" w:space="0" w:color="000000"/>
            </w:tcBorders>
          </w:tcPr>
          <w:p>
            <w:pPr>
              <w:spacing w:after="0"/>
              <w:jc w:val="center"/>
            </w:pPr>
            <w:r>
              <w:rPr>
                <w:rFonts w:ascii="Times New Roman" w:hAnsi="Times New Roman"/>
                <w:b/>
                <w:i w:val="0"/>
                <w:color w:val="000000"/>
                <w:sz w:val="18"/>
              </w:rPr>
              <w:t>Dimensions</w:t>
            </w:r>
          </w:p>
        </w:tc>
        <w:tc>
          <w:tcPr>
            <w:tcW w:type="dxa" w:w="1469"/>
            <w:vAlign w:val="center"/>
            <w:tcMar>
              <w:top w:w="80" w:type="dxa"/>
              <w:start w:w="100" w:type="dxa"/>
              <w:bottom w:w="80" w:type="dxa"/>
              <w:end w:w="100" w:type="dxa"/>
            </w:tcMar>
            <w:tcBorders>
              <w:top w:val="single" w:sz="4" w:space="0" w:color="000000"/>
              <w:left w:val="single" w:sz="4" w:space="0" w:color="000000"/>
              <w:bottom w:val="single" w:sz="4" w:space="0" w:color="000000"/>
              <w:right w:val="single" w:sz="4" w:space="0" w:color="000000"/>
            </w:tcBorders>
          </w:tcPr>
          <w:p>
            <w:pPr>
              <w:spacing w:after="0"/>
              <w:jc w:val="center"/>
            </w:pPr>
            <w:r>
              <w:rPr>
                <w:rFonts w:ascii="Times New Roman" w:hAnsi="Times New Roman"/>
                <w:b/>
                <w:i w:val="0"/>
                <w:color w:val="000000"/>
                <w:sz w:val="18"/>
              </w:rPr>
              <w:t>Variance share</w:t>
            </w:r>
          </w:p>
        </w:tc>
        <w:tc>
          <w:tcPr>
            <w:tcW w:type="dxa" w:w="1267"/>
            <w:vAlign w:val="center"/>
            <w:tcMar>
              <w:top w:w="80" w:type="dxa"/>
              <w:start w:w="100" w:type="dxa"/>
              <w:bottom w:w="80" w:type="dxa"/>
              <w:end w:w="100" w:type="dxa"/>
            </w:tcMar>
            <w:tcBorders>
              <w:top w:val="single" w:sz="4" w:space="0" w:color="000000"/>
              <w:left w:val="single" w:sz="4" w:space="0" w:color="000000"/>
              <w:bottom w:val="single" w:sz="4" w:space="0" w:color="000000"/>
              <w:right w:val="single" w:sz="4" w:space="0" w:color="000000"/>
            </w:tcBorders>
          </w:tcPr>
          <w:p>
            <w:pPr>
              <w:spacing w:after="0"/>
              <w:jc w:val="center"/>
            </w:pPr>
            <w:r>
              <w:rPr>
                <w:rFonts w:ascii="Times New Roman" w:hAnsi="Times New Roman"/>
                <w:b/>
                <w:i w:val="0"/>
                <w:color w:val="000000"/>
                <w:sz w:val="18"/>
              </w:rPr>
              <w:t>Exact match</w:t>
            </w:r>
          </w:p>
        </w:tc>
        <w:tc>
          <w:tcPr>
            <w:tcW w:type="dxa" w:w="1613"/>
            <w:vAlign w:val="center"/>
            <w:tcMar>
              <w:top w:w="80" w:type="dxa"/>
              <w:start w:w="100" w:type="dxa"/>
              <w:bottom w:w="80" w:type="dxa"/>
              <w:end w:w="100" w:type="dxa"/>
            </w:tcMar>
            <w:tcBorders>
              <w:top w:val="single" w:sz="4" w:space="0" w:color="000000"/>
              <w:left w:val="single" w:sz="4" w:space="0" w:color="000000"/>
              <w:bottom w:val="single" w:sz="4" w:space="0" w:color="000000"/>
              <w:right w:val="single" w:sz="4" w:space="0" w:color="000000"/>
            </w:tcBorders>
          </w:tcPr>
          <w:p>
            <w:pPr>
              <w:spacing w:after="0"/>
              <w:jc w:val="center"/>
            </w:pPr>
            <w:r>
              <w:rPr>
                <w:rFonts w:ascii="Times New Roman" w:hAnsi="Times New Roman"/>
                <w:b/>
                <w:i w:val="0"/>
                <w:color w:val="000000"/>
                <w:sz w:val="18"/>
              </w:rPr>
              <w:t>Baseline retained</w:t>
            </w:r>
          </w:p>
        </w:tc>
      </w:tr>
      <w:tr>
        <w:tc>
          <w:tcPr>
            <w:tcW w:type="dxa" w:w="3139"/>
            <w:vAlign w:val="center"/>
            <w:tcMar>
              <w:top w:w="80" w:type="dxa"/>
              <w:start w:w="100" w:type="dxa"/>
              <w:bottom w:w="80" w:type="dxa"/>
              <w:end w:w="100" w:type="dxa"/>
            </w:tcMar>
            <w:tcBorders>
              <w:top w:val="single" w:sz="4" w:space="0" w:color="000000"/>
              <w:left w:val="single" w:sz="4" w:space="0" w:color="000000"/>
              <w:bottom w:val="single" w:sz="4" w:space="0" w:color="000000"/>
              <w:right w:val="single" w:sz="4" w:space="0" w:color="000000"/>
            </w:tcBorders>
          </w:tcPr>
          <w:p>
            <w:pPr>
              <w:spacing w:after="0" w:line="240" w:lineRule="auto"/>
              <w:jc w:val="left"/>
            </w:pPr>
            <w:r>
              <w:rPr>
                <w:rFonts w:ascii="Times New Roman" w:hAnsi="Times New Roman"/>
                <w:b w:val="0"/>
                <w:i w:val="0"/>
                <w:color w:val="000000"/>
                <w:sz w:val="18"/>
              </w:rPr>
              <w:t>Unmodified baseline</w:t>
            </w:r>
          </w:p>
        </w:tc>
        <w:tc>
          <w:tcPr>
            <w:tcW w:type="dxa" w:w="1195"/>
            <w:vAlign w:val="center"/>
            <w:tcMar>
              <w:top w:w="80" w:type="dxa"/>
              <w:start w:w="100" w:type="dxa"/>
              <w:bottom w:w="80" w:type="dxa"/>
              <w:end w:w="100" w:type="dxa"/>
            </w:tcMar>
            <w:tcBorders>
              <w:top w:val="single" w:sz="4" w:space="0" w:color="000000"/>
              <w:left w:val="single" w:sz="4" w:space="0" w:color="000000"/>
              <w:bottom w:val="single" w:sz="4" w:space="0" w:color="000000"/>
              <w:right w:val="single" w:sz="4" w:space="0" w:color="000000"/>
            </w:tcBorders>
          </w:tcPr>
          <w:p>
            <w:pPr>
              <w:spacing w:after="0" w:line="240" w:lineRule="auto"/>
              <w:jc w:val="center"/>
            </w:pPr>
            <w:r>
              <w:rPr>
                <w:rFonts w:ascii="Times New Roman" w:hAnsi="Times New Roman"/>
                <w:b w:val="0"/>
                <w:i w:val="0"/>
                <w:color w:val="000000"/>
                <w:sz w:val="18"/>
              </w:rPr>
              <w:t>768</w:t>
            </w:r>
          </w:p>
        </w:tc>
        <w:tc>
          <w:tcPr>
            <w:tcW w:type="dxa" w:w="1469"/>
            <w:vAlign w:val="center"/>
            <w:tcMar>
              <w:top w:w="80" w:type="dxa"/>
              <w:start w:w="100" w:type="dxa"/>
              <w:bottom w:w="80" w:type="dxa"/>
              <w:end w:w="100" w:type="dxa"/>
            </w:tcMar>
            <w:tcBorders>
              <w:top w:val="single" w:sz="4" w:space="0" w:color="000000"/>
              <w:left w:val="single" w:sz="4" w:space="0" w:color="000000"/>
              <w:bottom w:val="single" w:sz="4" w:space="0" w:color="000000"/>
              <w:right w:val="single" w:sz="4" w:space="0" w:color="000000"/>
            </w:tcBorders>
          </w:tcPr>
          <w:p>
            <w:pPr>
              <w:spacing w:after="0" w:line="240" w:lineRule="auto"/>
              <w:jc w:val="center"/>
            </w:pPr>
            <w:r>
              <w:rPr>
                <w:rFonts w:ascii="Times New Roman" w:hAnsi="Times New Roman"/>
                <w:b w:val="0"/>
                <w:i w:val="0"/>
                <w:color w:val="000000"/>
                <w:sz w:val="18"/>
              </w:rPr>
              <w:t>100.00%</w:t>
            </w:r>
          </w:p>
        </w:tc>
        <w:tc>
          <w:tcPr>
            <w:tcW w:type="dxa" w:w="1267"/>
            <w:vAlign w:val="center"/>
            <w:tcMar>
              <w:top w:w="80" w:type="dxa"/>
              <w:start w:w="100" w:type="dxa"/>
              <w:bottom w:w="80" w:type="dxa"/>
              <w:end w:w="100" w:type="dxa"/>
            </w:tcMar>
            <w:tcBorders>
              <w:top w:val="single" w:sz="4" w:space="0" w:color="000000"/>
              <w:left w:val="single" w:sz="4" w:space="0" w:color="000000"/>
              <w:bottom w:val="single" w:sz="4" w:space="0" w:color="000000"/>
              <w:right w:val="single" w:sz="4" w:space="0" w:color="000000"/>
            </w:tcBorders>
          </w:tcPr>
          <w:p>
            <w:pPr>
              <w:spacing w:after="0" w:line="240" w:lineRule="auto"/>
              <w:jc w:val="center"/>
            </w:pPr>
            <w:r>
              <w:rPr>
                <w:rFonts w:ascii="Times New Roman" w:hAnsi="Times New Roman"/>
                <w:b w:val="0"/>
                <w:i w:val="0"/>
                <w:color w:val="000000"/>
                <w:sz w:val="18"/>
              </w:rPr>
              <w:t>0.4337</w:t>
            </w:r>
          </w:p>
        </w:tc>
        <w:tc>
          <w:tcPr>
            <w:tcW w:type="dxa" w:w="1613"/>
            <w:vAlign w:val="center"/>
            <w:tcMar>
              <w:top w:w="80" w:type="dxa"/>
              <w:start w:w="100" w:type="dxa"/>
              <w:bottom w:w="80" w:type="dxa"/>
              <w:end w:w="100" w:type="dxa"/>
            </w:tcMar>
            <w:tcBorders>
              <w:top w:val="single" w:sz="4" w:space="0" w:color="000000"/>
              <w:left w:val="single" w:sz="4" w:space="0" w:color="000000"/>
              <w:bottom w:val="single" w:sz="4" w:space="0" w:color="000000"/>
              <w:right w:val="single" w:sz="4" w:space="0" w:color="000000"/>
            </w:tcBorders>
          </w:tcPr>
          <w:p>
            <w:pPr>
              <w:spacing w:after="0" w:line="240" w:lineRule="auto"/>
              <w:jc w:val="center"/>
            </w:pPr>
            <w:r>
              <w:rPr>
                <w:rFonts w:ascii="Times New Roman" w:hAnsi="Times New Roman"/>
                <w:b w:val="0"/>
                <w:i w:val="0"/>
                <w:color w:val="000000"/>
                <w:sz w:val="18"/>
              </w:rPr>
              <w:t>1.000</w:t>
            </w:r>
          </w:p>
        </w:tc>
      </w:tr>
      <w:tr>
        <w:tc>
          <w:tcPr>
            <w:tcW w:type="dxa" w:w="3139"/>
            <w:vAlign w:val="center"/>
            <w:tcMar>
              <w:top w:w="80" w:type="dxa"/>
              <w:start w:w="100" w:type="dxa"/>
              <w:bottom w:w="80" w:type="dxa"/>
              <w:end w:w="100" w:type="dxa"/>
            </w:tcMar>
            <w:tcBorders>
              <w:top w:val="single" w:sz="4" w:space="0" w:color="000000"/>
              <w:left w:val="single" w:sz="4" w:space="0" w:color="000000"/>
              <w:bottom w:val="single" w:sz="4" w:space="0" w:color="000000"/>
              <w:right w:val="single" w:sz="4" w:space="0" w:color="000000"/>
            </w:tcBorders>
          </w:tcPr>
          <w:p>
            <w:pPr>
              <w:spacing w:after="0" w:line="240" w:lineRule="auto"/>
              <w:jc w:val="left"/>
            </w:pPr>
            <w:r>
              <w:rPr>
                <w:rFonts w:ascii="Times New Roman" w:hAnsi="Times New Roman"/>
                <w:b w:val="0"/>
                <w:i w:val="0"/>
                <w:color w:val="000000"/>
                <w:sz w:val="18"/>
              </w:rPr>
              <w:t>Retain eigenvectors 0-3</w:t>
            </w:r>
          </w:p>
        </w:tc>
        <w:tc>
          <w:tcPr>
            <w:tcW w:type="dxa" w:w="1195"/>
            <w:vAlign w:val="center"/>
            <w:tcMar>
              <w:top w:w="80" w:type="dxa"/>
              <w:start w:w="100" w:type="dxa"/>
              <w:bottom w:w="80" w:type="dxa"/>
              <w:end w:w="100" w:type="dxa"/>
            </w:tcMar>
            <w:tcBorders>
              <w:top w:val="single" w:sz="4" w:space="0" w:color="000000"/>
              <w:left w:val="single" w:sz="4" w:space="0" w:color="000000"/>
              <w:bottom w:val="single" w:sz="4" w:space="0" w:color="000000"/>
              <w:right w:val="single" w:sz="4" w:space="0" w:color="000000"/>
            </w:tcBorders>
          </w:tcPr>
          <w:p>
            <w:pPr>
              <w:spacing w:after="0" w:line="240" w:lineRule="auto"/>
              <w:jc w:val="center"/>
            </w:pPr>
            <w:r>
              <w:rPr>
                <w:rFonts w:ascii="Times New Roman" w:hAnsi="Times New Roman"/>
                <w:b w:val="0"/>
                <w:i w:val="0"/>
                <w:color w:val="000000"/>
                <w:sz w:val="18"/>
              </w:rPr>
              <w:t>4</w:t>
            </w:r>
          </w:p>
        </w:tc>
        <w:tc>
          <w:tcPr>
            <w:tcW w:type="dxa" w:w="1469"/>
            <w:vAlign w:val="center"/>
            <w:tcMar>
              <w:top w:w="80" w:type="dxa"/>
              <w:start w:w="100" w:type="dxa"/>
              <w:bottom w:w="80" w:type="dxa"/>
              <w:end w:w="100" w:type="dxa"/>
            </w:tcMar>
            <w:tcBorders>
              <w:top w:val="single" w:sz="4" w:space="0" w:color="000000"/>
              <w:left w:val="single" w:sz="4" w:space="0" w:color="000000"/>
              <w:bottom w:val="single" w:sz="4" w:space="0" w:color="000000"/>
              <w:right w:val="single" w:sz="4" w:space="0" w:color="000000"/>
            </w:tcBorders>
          </w:tcPr>
          <w:p>
            <w:pPr>
              <w:spacing w:after="0" w:line="240" w:lineRule="auto"/>
              <w:jc w:val="center"/>
            </w:pPr>
            <w:r>
              <w:rPr>
                <w:rFonts w:ascii="Times New Roman" w:hAnsi="Times New Roman"/>
                <w:b w:val="0"/>
                <w:i w:val="0"/>
                <w:color w:val="000000"/>
                <w:sz w:val="18"/>
              </w:rPr>
              <w:t>82.31%</w:t>
            </w:r>
          </w:p>
        </w:tc>
        <w:tc>
          <w:tcPr>
            <w:tcW w:type="dxa" w:w="1267"/>
            <w:vAlign w:val="center"/>
            <w:tcMar>
              <w:top w:w="80" w:type="dxa"/>
              <w:start w:w="100" w:type="dxa"/>
              <w:bottom w:w="80" w:type="dxa"/>
              <w:end w:w="100" w:type="dxa"/>
            </w:tcMar>
            <w:tcBorders>
              <w:top w:val="single" w:sz="4" w:space="0" w:color="000000"/>
              <w:left w:val="single" w:sz="4" w:space="0" w:color="000000"/>
              <w:bottom w:val="single" w:sz="4" w:space="0" w:color="000000"/>
              <w:right w:val="single" w:sz="4" w:space="0" w:color="000000"/>
            </w:tcBorders>
          </w:tcPr>
          <w:p>
            <w:pPr>
              <w:spacing w:after="0" w:line="240" w:lineRule="auto"/>
              <w:jc w:val="center"/>
            </w:pPr>
            <w:r>
              <w:rPr>
                <w:rFonts w:ascii="Times New Roman" w:hAnsi="Times New Roman"/>
                <w:b w:val="0"/>
                <w:i w:val="0"/>
                <w:color w:val="000000"/>
                <w:sz w:val="18"/>
              </w:rPr>
              <w:t>0.0265</w:t>
            </w:r>
          </w:p>
        </w:tc>
        <w:tc>
          <w:tcPr>
            <w:tcW w:type="dxa" w:w="1613"/>
            <w:vAlign w:val="center"/>
            <w:tcMar>
              <w:top w:w="80" w:type="dxa"/>
              <w:start w:w="100" w:type="dxa"/>
              <w:bottom w:w="80" w:type="dxa"/>
              <w:end w:w="100" w:type="dxa"/>
            </w:tcMar>
            <w:tcBorders>
              <w:top w:val="single" w:sz="4" w:space="0" w:color="000000"/>
              <w:left w:val="single" w:sz="4" w:space="0" w:color="000000"/>
              <w:bottom w:val="single" w:sz="4" w:space="0" w:color="000000"/>
              <w:right w:val="single" w:sz="4" w:space="0" w:color="000000"/>
            </w:tcBorders>
          </w:tcPr>
          <w:p>
            <w:pPr>
              <w:spacing w:after="0" w:line="240" w:lineRule="auto"/>
              <w:jc w:val="center"/>
            </w:pPr>
            <w:r>
              <w:rPr>
                <w:rFonts w:ascii="Times New Roman" w:hAnsi="Times New Roman"/>
                <w:b w:val="0"/>
                <w:i w:val="0"/>
                <w:color w:val="000000"/>
                <w:sz w:val="18"/>
              </w:rPr>
              <w:t>0.061</w:t>
            </w:r>
          </w:p>
        </w:tc>
      </w:tr>
      <w:tr>
        <w:tc>
          <w:tcPr>
            <w:tcW w:type="dxa" w:w="3139"/>
            <w:vAlign w:val="center"/>
            <w:tcMar>
              <w:top w:w="80" w:type="dxa"/>
              <w:start w:w="100" w:type="dxa"/>
              <w:bottom w:w="80" w:type="dxa"/>
              <w:end w:w="100" w:type="dxa"/>
            </w:tcMar>
            <w:tcBorders>
              <w:top w:val="single" w:sz="4" w:space="0" w:color="000000"/>
              <w:left w:val="single" w:sz="4" w:space="0" w:color="000000"/>
              <w:bottom w:val="single" w:sz="4" w:space="0" w:color="000000"/>
              <w:right w:val="single" w:sz="4" w:space="0" w:color="000000"/>
            </w:tcBorders>
          </w:tcPr>
          <w:p>
            <w:pPr>
              <w:spacing w:after="0" w:line="240" w:lineRule="auto"/>
              <w:jc w:val="left"/>
            </w:pPr>
            <w:r>
              <w:rPr>
                <w:rFonts w:ascii="Times New Roman" w:hAnsi="Times New Roman"/>
                <w:b w:val="0"/>
                <w:i w:val="0"/>
                <w:color w:val="000000"/>
                <w:sz w:val="18"/>
              </w:rPr>
              <w:t>Retain eigenvectors 4-15</w:t>
            </w:r>
          </w:p>
        </w:tc>
        <w:tc>
          <w:tcPr>
            <w:tcW w:type="dxa" w:w="1195"/>
            <w:vAlign w:val="center"/>
            <w:tcMar>
              <w:top w:w="80" w:type="dxa"/>
              <w:start w:w="100" w:type="dxa"/>
              <w:bottom w:w="80" w:type="dxa"/>
              <w:end w:w="100" w:type="dxa"/>
            </w:tcMar>
            <w:tcBorders>
              <w:top w:val="single" w:sz="4" w:space="0" w:color="000000"/>
              <w:left w:val="single" w:sz="4" w:space="0" w:color="000000"/>
              <w:bottom w:val="single" w:sz="4" w:space="0" w:color="000000"/>
              <w:right w:val="single" w:sz="4" w:space="0" w:color="000000"/>
            </w:tcBorders>
          </w:tcPr>
          <w:p>
            <w:pPr>
              <w:spacing w:after="0" w:line="240" w:lineRule="auto"/>
              <w:jc w:val="center"/>
            </w:pPr>
            <w:r>
              <w:rPr>
                <w:rFonts w:ascii="Times New Roman" w:hAnsi="Times New Roman"/>
                <w:b w:val="0"/>
                <w:i w:val="0"/>
                <w:color w:val="000000"/>
                <w:sz w:val="18"/>
              </w:rPr>
              <w:t>12</w:t>
            </w:r>
          </w:p>
        </w:tc>
        <w:tc>
          <w:tcPr>
            <w:tcW w:type="dxa" w:w="1469"/>
            <w:vAlign w:val="center"/>
            <w:tcMar>
              <w:top w:w="80" w:type="dxa"/>
              <w:start w:w="100" w:type="dxa"/>
              <w:bottom w:w="80" w:type="dxa"/>
              <w:end w:w="100" w:type="dxa"/>
            </w:tcMar>
            <w:tcBorders>
              <w:top w:val="single" w:sz="4" w:space="0" w:color="000000"/>
              <w:left w:val="single" w:sz="4" w:space="0" w:color="000000"/>
              <w:bottom w:val="single" w:sz="4" w:space="0" w:color="000000"/>
              <w:right w:val="single" w:sz="4" w:space="0" w:color="000000"/>
            </w:tcBorders>
          </w:tcPr>
          <w:p>
            <w:pPr>
              <w:spacing w:after="0" w:line="240" w:lineRule="auto"/>
              <w:jc w:val="center"/>
            </w:pPr>
            <w:r>
              <w:rPr>
                <w:rFonts w:ascii="Times New Roman" w:hAnsi="Times New Roman"/>
                <w:b w:val="0"/>
                <w:i w:val="0"/>
                <w:color w:val="000000"/>
                <w:sz w:val="18"/>
              </w:rPr>
              <w:t>7.49%</w:t>
            </w:r>
          </w:p>
        </w:tc>
        <w:tc>
          <w:tcPr>
            <w:tcW w:type="dxa" w:w="1267"/>
            <w:vAlign w:val="center"/>
            <w:tcMar>
              <w:top w:w="80" w:type="dxa"/>
              <w:start w:w="100" w:type="dxa"/>
              <w:bottom w:w="80" w:type="dxa"/>
              <w:end w:w="100" w:type="dxa"/>
            </w:tcMar>
            <w:tcBorders>
              <w:top w:val="single" w:sz="4" w:space="0" w:color="000000"/>
              <w:left w:val="single" w:sz="4" w:space="0" w:color="000000"/>
              <w:bottom w:val="single" w:sz="4" w:space="0" w:color="000000"/>
              <w:right w:val="single" w:sz="4" w:space="0" w:color="000000"/>
            </w:tcBorders>
          </w:tcPr>
          <w:p>
            <w:pPr>
              <w:spacing w:after="0" w:line="240" w:lineRule="auto"/>
              <w:jc w:val="center"/>
            </w:pPr>
            <w:r>
              <w:rPr>
                <w:rFonts w:ascii="Times New Roman" w:hAnsi="Times New Roman"/>
                <w:b w:val="0"/>
                <w:i w:val="0"/>
                <w:color w:val="000000"/>
                <w:sz w:val="18"/>
              </w:rPr>
              <w:t>0.2191</w:t>
            </w:r>
          </w:p>
        </w:tc>
        <w:tc>
          <w:tcPr>
            <w:tcW w:type="dxa" w:w="1613"/>
            <w:vAlign w:val="center"/>
            <w:tcMar>
              <w:top w:w="80" w:type="dxa"/>
              <w:start w:w="100" w:type="dxa"/>
              <w:bottom w:w="80" w:type="dxa"/>
              <w:end w:w="100" w:type="dxa"/>
            </w:tcMar>
            <w:tcBorders>
              <w:top w:val="single" w:sz="4" w:space="0" w:color="000000"/>
              <w:left w:val="single" w:sz="4" w:space="0" w:color="000000"/>
              <w:bottom w:val="single" w:sz="4" w:space="0" w:color="000000"/>
              <w:right w:val="single" w:sz="4" w:space="0" w:color="000000"/>
            </w:tcBorders>
          </w:tcPr>
          <w:p>
            <w:pPr>
              <w:spacing w:after="0" w:line="240" w:lineRule="auto"/>
              <w:jc w:val="center"/>
            </w:pPr>
            <w:r>
              <w:rPr>
                <w:rFonts w:ascii="Times New Roman" w:hAnsi="Times New Roman"/>
                <w:b w:val="0"/>
                <w:i w:val="0"/>
                <w:color w:val="000000"/>
                <w:sz w:val="18"/>
              </w:rPr>
              <w:t>0.505</w:t>
            </w:r>
          </w:p>
        </w:tc>
      </w:tr>
      <w:tr>
        <w:tc>
          <w:tcPr>
            <w:tcW w:type="dxa" w:w="3139"/>
            <w:vAlign w:val="center"/>
            <w:tcMar>
              <w:top w:w="80" w:type="dxa"/>
              <w:start w:w="100" w:type="dxa"/>
              <w:bottom w:w="80" w:type="dxa"/>
              <w:end w:w="100" w:type="dxa"/>
            </w:tcMar>
            <w:tcBorders>
              <w:top w:val="single" w:sz="4" w:space="0" w:color="000000"/>
              <w:left w:val="single" w:sz="4" w:space="0" w:color="000000"/>
              <w:bottom w:val="single" w:sz="4" w:space="0" w:color="000000"/>
              <w:right w:val="single" w:sz="4" w:space="0" w:color="000000"/>
            </w:tcBorders>
          </w:tcPr>
          <w:p>
            <w:pPr>
              <w:spacing w:after="0" w:line="240" w:lineRule="auto"/>
              <w:jc w:val="left"/>
            </w:pPr>
            <w:r>
              <w:rPr>
                <w:rFonts w:ascii="Times New Roman" w:hAnsi="Times New Roman"/>
                <w:b w:val="0"/>
                <w:i w:val="0"/>
                <w:color w:val="000000"/>
                <w:sz w:val="18"/>
              </w:rPr>
              <w:t>Retain eigenvectors 4-31</w:t>
            </w:r>
          </w:p>
        </w:tc>
        <w:tc>
          <w:tcPr>
            <w:tcW w:type="dxa" w:w="1195"/>
            <w:vAlign w:val="center"/>
            <w:tcMar>
              <w:top w:w="80" w:type="dxa"/>
              <w:start w:w="100" w:type="dxa"/>
              <w:bottom w:w="80" w:type="dxa"/>
              <w:end w:w="100" w:type="dxa"/>
            </w:tcMar>
            <w:tcBorders>
              <w:top w:val="single" w:sz="4" w:space="0" w:color="000000"/>
              <w:left w:val="single" w:sz="4" w:space="0" w:color="000000"/>
              <w:bottom w:val="single" w:sz="4" w:space="0" w:color="000000"/>
              <w:right w:val="single" w:sz="4" w:space="0" w:color="000000"/>
            </w:tcBorders>
          </w:tcPr>
          <w:p>
            <w:pPr>
              <w:spacing w:after="0" w:line="240" w:lineRule="auto"/>
              <w:jc w:val="center"/>
            </w:pPr>
            <w:r>
              <w:rPr>
                <w:rFonts w:ascii="Times New Roman" w:hAnsi="Times New Roman"/>
                <w:b w:val="0"/>
                <w:i w:val="0"/>
                <w:color w:val="000000"/>
                <w:sz w:val="18"/>
              </w:rPr>
              <w:t>28</w:t>
            </w:r>
          </w:p>
        </w:tc>
        <w:tc>
          <w:tcPr>
            <w:tcW w:type="dxa" w:w="1469"/>
            <w:vAlign w:val="center"/>
            <w:tcMar>
              <w:top w:w="80" w:type="dxa"/>
              <w:start w:w="100" w:type="dxa"/>
              <w:bottom w:w="80" w:type="dxa"/>
              <w:end w:w="100" w:type="dxa"/>
            </w:tcMar>
            <w:tcBorders>
              <w:top w:val="single" w:sz="4" w:space="0" w:color="000000"/>
              <w:left w:val="single" w:sz="4" w:space="0" w:color="000000"/>
              <w:bottom w:val="single" w:sz="4" w:space="0" w:color="000000"/>
              <w:right w:val="single" w:sz="4" w:space="0" w:color="000000"/>
            </w:tcBorders>
          </w:tcPr>
          <w:p>
            <w:pPr>
              <w:spacing w:after="0" w:line="240" w:lineRule="auto"/>
              <w:jc w:val="center"/>
            </w:pPr>
            <w:r>
              <w:rPr>
                <w:rFonts w:ascii="Times New Roman" w:hAnsi="Times New Roman"/>
                <w:b w:val="0"/>
                <w:i w:val="0"/>
                <w:color w:val="000000"/>
                <w:sz w:val="18"/>
              </w:rPr>
              <w:t>11.31%</w:t>
            </w:r>
          </w:p>
        </w:tc>
        <w:tc>
          <w:tcPr>
            <w:tcW w:type="dxa" w:w="1267"/>
            <w:vAlign w:val="center"/>
            <w:tcMar>
              <w:top w:w="80" w:type="dxa"/>
              <w:start w:w="100" w:type="dxa"/>
              <w:bottom w:w="80" w:type="dxa"/>
              <w:end w:w="100" w:type="dxa"/>
            </w:tcMar>
            <w:tcBorders>
              <w:top w:val="single" w:sz="4" w:space="0" w:color="000000"/>
              <w:left w:val="single" w:sz="4" w:space="0" w:color="000000"/>
              <w:bottom w:val="single" w:sz="4" w:space="0" w:color="000000"/>
              <w:right w:val="single" w:sz="4" w:space="0" w:color="000000"/>
            </w:tcBorders>
          </w:tcPr>
          <w:p>
            <w:pPr>
              <w:spacing w:after="0" w:line="240" w:lineRule="auto"/>
              <w:jc w:val="center"/>
            </w:pPr>
            <w:r>
              <w:rPr>
                <w:rFonts w:ascii="Times New Roman" w:hAnsi="Times New Roman"/>
                <w:b w:val="0"/>
                <w:i w:val="0"/>
                <w:color w:val="000000"/>
                <w:sz w:val="18"/>
              </w:rPr>
              <w:t>0.3806</w:t>
            </w:r>
          </w:p>
        </w:tc>
        <w:tc>
          <w:tcPr>
            <w:tcW w:type="dxa" w:w="1613"/>
            <w:vAlign w:val="center"/>
            <w:tcMar>
              <w:top w:w="80" w:type="dxa"/>
              <w:start w:w="100" w:type="dxa"/>
              <w:bottom w:w="80" w:type="dxa"/>
              <w:end w:w="100" w:type="dxa"/>
            </w:tcMar>
            <w:tcBorders>
              <w:top w:val="single" w:sz="4" w:space="0" w:color="000000"/>
              <w:left w:val="single" w:sz="4" w:space="0" w:color="000000"/>
              <w:bottom w:val="single" w:sz="4" w:space="0" w:color="000000"/>
              <w:right w:val="single" w:sz="4" w:space="0" w:color="000000"/>
            </w:tcBorders>
          </w:tcPr>
          <w:p>
            <w:pPr>
              <w:spacing w:after="0" w:line="240" w:lineRule="auto"/>
              <w:jc w:val="center"/>
            </w:pPr>
            <w:r>
              <w:rPr>
                <w:rFonts w:ascii="Times New Roman" w:hAnsi="Times New Roman"/>
                <w:b w:val="0"/>
                <w:i w:val="0"/>
                <w:color w:val="000000"/>
                <w:sz w:val="18"/>
              </w:rPr>
              <w:t>0.878</w:t>
            </w:r>
          </w:p>
        </w:tc>
      </w:tr>
      <w:tr>
        <w:tc>
          <w:tcPr>
            <w:tcW w:type="dxa" w:w="3139"/>
            <w:vAlign w:val="center"/>
            <w:tcMar>
              <w:top w:w="80" w:type="dxa"/>
              <w:start w:w="100" w:type="dxa"/>
              <w:bottom w:w="80" w:type="dxa"/>
              <w:end w:w="100" w:type="dxa"/>
            </w:tcMar>
            <w:tcBorders>
              <w:top w:val="single" w:sz="4" w:space="0" w:color="000000"/>
              <w:left w:val="single" w:sz="4" w:space="0" w:color="000000"/>
              <w:bottom w:val="single" w:sz="4" w:space="0" w:color="000000"/>
              <w:right w:val="single" w:sz="4" w:space="0" w:color="000000"/>
            </w:tcBorders>
          </w:tcPr>
          <w:p>
            <w:pPr>
              <w:spacing w:after="0" w:line="240" w:lineRule="auto"/>
              <w:jc w:val="left"/>
            </w:pPr>
            <w:r>
              <w:rPr>
                <w:rFonts w:ascii="Times New Roman" w:hAnsi="Times New Roman"/>
                <w:b w:val="0"/>
                <w:i w:val="0"/>
                <w:color w:val="000000"/>
                <w:sz w:val="18"/>
              </w:rPr>
              <w:t>Retain eigenvectors 0-31</w:t>
            </w:r>
          </w:p>
        </w:tc>
        <w:tc>
          <w:tcPr>
            <w:tcW w:type="dxa" w:w="1195"/>
            <w:vAlign w:val="center"/>
            <w:tcMar>
              <w:top w:w="80" w:type="dxa"/>
              <w:start w:w="100" w:type="dxa"/>
              <w:bottom w:w="80" w:type="dxa"/>
              <w:end w:w="100" w:type="dxa"/>
            </w:tcMar>
            <w:tcBorders>
              <w:top w:val="single" w:sz="4" w:space="0" w:color="000000"/>
              <w:left w:val="single" w:sz="4" w:space="0" w:color="000000"/>
              <w:bottom w:val="single" w:sz="4" w:space="0" w:color="000000"/>
              <w:right w:val="single" w:sz="4" w:space="0" w:color="000000"/>
            </w:tcBorders>
          </w:tcPr>
          <w:p>
            <w:pPr>
              <w:spacing w:after="0" w:line="240" w:lineRule="auto"/>
              <w:jc w:val="center"/>
            </w:pPr>
            <w:r>
              <w:rPr>
                <w:rFonts w:ascii="Times New Roman" w:hAnsi="Times New Roman"/>
                <w:b w:val="0"/>
                <w:i w:val="0"/>
                <w:color w:val="000000"/>
                <w:sz w:val="18"/>
              </w:rPr>
              <w:t>32</w:t>
            </w:r>
          </w:p>
        </w:tc>
        <w:tc>
          <w:tcPr>
            <w:tcW w:type="dxa" w:w="1469"/>
            <w:vAlign w:val="center"/>
            <w:tcMar>
              <w:top w:w="80" w:type="dxa"/>
              <w:start w:w="100" w:type="dxa"/>
              <w:bottom w:w="80" w:type="dxa"/>
              <w:end w:w="100" w:type="dxa"/>
            </w:tcMar>
            <w:tcBorders>
              <w:top w:val="single" w:sz="4" w:space="0" w:color="000000"/>
              <w:left w:val="single" w:sz="4" w:space="0" w:color="000000"/>
              <w:bottom w:val="single" w:sz="4" w:space="0" w:color="000000"/>
              <w:right w:val="single" w:sz="4" w:space="0" w:color="000000"/>
            </w:tcBorders>
          </w:tcPr>
          <w:p>
            <w:pPr>
              <w:spacing w:after="0" w:line="240" w:lineRule="auto"/>
              <w:jc w:val="center"/>
            </w:pPr>
            <w:r>
              <w:rPr>
                <w:rFonts w:ascii="Times New Roman" w:hAnsi="Times New Roman"/>
                <w:b w:val="0"/>
                <w:i w:val="0"/>
                <w:color w:val="000000"/>
                <w:sz w:val="18"/>
              </w:rPr>
              <w:t>93.62%</w:t>
            </w:r>
          </w:p>
        </w:tc>
        <w:tc>
          <w:tcPr>
            <w:tcW w:type="dxa" w:w="1267"/>
            <w:vAlign w:val="center"/>
            <w:tcMar>
              <w:top w:w="80" w:type="dxa"/>
              <w:start w:w="100" w:type="dxa"/>
              <w:bottom w:w="80" w:type="dxa"/>
              <w:end w:w="100" w:type="dxa"/>
            </w:tcMar>
            <w:tcBorders>
              <w:top w:val="single" w:sz="4" w:space="0" w:color="000000"/>
              <w:left w:val="single" w:sz="4" w:space="0" w:color="000000"/>
              <w:bottom w:val="single" w:sz="4" w:space="0" w:color="000000"/>
              <w:right w:val="single" w:sz="4" w:space="0" w:color="000000"/>
            </w:tcBorders>
          </w:tcPr>
          <w:p>
            <w:pPr>
              <w:spacing w:after="0" w:line="240" w:lineRule="auto"/>
              <w:jc w:val="center"/>
            </w:pPr>
            <w:r>
              <w:rPr>
                <w:rFonts w:ascii="Times New Roman" w:hAnsi="Times New Roman"/>
                <w:b w:val="0"/>
                <w:i w:val="0"/>
                <w:color w:val="000000"/>
                <w:sz w:val="18"/>
              </w:rPr>
              <w:t>0.4094</w:t>
            </w:r>
          </w:p>
        </w:tc>
        <w:tc>
          <w:tcPr>
            <w:tcW w:type="dxa" w:w="1613"/>
            <w:vAlign w:val="center"/>
            <w:tcMar>
              <w:top w:w="80" w:type="dxa"/>
              <w:start w:w="100" w:type="dxa"/>
              <w:bottom w:w="80" w:type="dxa"/>
              <w:end w:w="100" w:type="dxa"/>
            </w:tcMar>
            <w:tcBorders>
              <w:top w:val="single" w:sz="4" w:space="0" w:color="000000"/>
              <w:left w:val="single" w:sz="4" w:space="0" w:color="000000"/>
              <w:bottom w:val="single" w:sz="4" w:space="0" w:color="000000"/>
              <w:right w:val="single" w:sz="4" w:space="0" w:color="000000"/>
            </w:tcBorders>
          </w:tcPr>
          <w:p>
            <w:pPr>
              <w:spacing w:after="0" w:line="240" w:lineRule="auto"/>
              <w:jc w:val="center"/>
            </w:pPr>
            <w:r>
              <w:rPr>
                <w:rFonts w:ascii="Times New Roman" w:hAnsi="Times New Roman"/>
                <w:b w:val="0"/>
                <w:i w:val="0"/>
                <w:color w:val="000000"/>
                <w:sz w:val="18"/>
              </w:rPr>
              <w:t>0.944</w:t>
            </w:r>
          </w:p>
        </w:tc>
      </w:tr>
      <w:tr>
        <w:tc>
          <w:tcPr>
            <w:tcW w:type="dxa" w:w="3139"/>
            <w:vAlign w:val="center"/>
            <w:tcMar>
              <w:top w:w="80" w:type="dxa"/>
              <w:start w:w="100" w:type="dxa"/>
              <w:bottom w:w="80" w:type="dxa"/>
              <w:end w:w="100" w:type="dxa"/>
            </w:tcMar>
            <w:tcBorders>
              <w:top w:val="single" w:sz="4" w:space="0" w:color="000000"/>
              <w:left w:val="single" w:sz="4" w:space="0" w:color="000000"/>
              <w:bottom w:val="single" w:sz="4" w:space="0" w:color="000000"/>
              <w:right w:val="single" w:sz="4" w:space="0" w:color="000000"/>
            </w:tcBorders>
          </w:tcPr>
          <w:p>
            <w:pPr>
              <w:spacing w:after="0" w:line="240" w:lineRule="auto"/>
              <w:jc w:val="left"/>
            </w:pPr>
            <w:r>
              <w:rPr>
                <w:rFonts w:ascii="Times New Roman" w:hAnsi="Times New Roman"/>
                <w:b w:val="0"/>
                <w:i w:val="0"/>
                <w:color w:val="000000"/>
                <w:sz w:val="18"/>
              </w:rPr>
              <w:t>Remove eigenvectors 4-31</w:t>
            </w:r>
          </w:p>
        </w:tc>
        <w:tc>
          <w:tcPr>
            <w:tcW w:type="dxa" w:w="1195"/>
            <w:vAlign w:val="center"/>
            <w:tcMar>
              <w:top w:w="80" w:type="dxa"/>
              <w:start w:w="100" w:type="dxa"/>
              <w:bottom w:w="80" w:type="dxa"/>
              <w:end w:w="100" w:type="dxa"/>
            </w:tcMar>
            <w:tcBorders>
              <w:top w:val="single" w:sz="4" w:space="0" w:color="000000"/>
              <w:left w:val="single" w:sz="4" w:space="0" w:color="000000"/>
              <w:bottom w:val="single" w:sz="4" w:space="0" w:color="000000"/>
              <w:right w:val="single" w:sz="4" w:space="0" w:color="000000"/>
            </w:tcBorders>
          </w:tcPr>
          <w:p>
            <w:pPr>
              <w:spacing w:after="0" w:line="240" w:lineRule="auto"/>
              <w:jc w:val="center"/>
            </w:pPr>
            <w:r>
              <w:rPr>
                <w:rFonts w:ascii="Times New Roman" w:hAnsi="Times New Roman"/>
                <w:b w:val="0"/>
                <w:i w:val="0"/>
                <w:color w:val="000000"/>
                <w:sz w:val="18"/>
              </w:rPr>
              <w:t>28 removed</w:t>
            </w:r>
          </w:p>
        </w:tc>
        <w:tc>
          <w:tcPr>
            <w:tcW w:type="dxa" w:w="1469"/>
            <w:vAlign w:val="center"/>
            <w:tcMar>
              <w:top w:w="80" w:type="dxa"/>
              <w:start w:w="100" w:type="dxa"/>
              <w:bottom w:w="80" w:type="dxa"/>
              <w:end w:w="100" w:type="dxa"/>
            </w:tcMar>
            <w:tcBorders>
              <w:top w:val="single" w:sz="4" w:space="0" w:color="000000"/>
              <w:left w:val="single" w:sz="4" w:space="0" w:color="000000"/>
              <w:bottom w:val="single" w:sz="4" w:space="0" w:color="000000"/>
              <w:right w:val="single" w:sz="4" w:space="0" w:color="000000"/>
            </w:tcBorders>
          </w:tcPr>
          <w:p>
            <w:pPr>
              <w:spacing w:after="0" w:line="240" w:lineRule="auto"/>
              <w:jc w:val="center"/>
            </w:pPr>
            <w:r>
              <w:rPr>
                <w:rFonts w:ascii="Times New Roman" w:hAnsi="Times New Roman"/>
                <w:b w:val="0"/>
                <w:i w:val="0"/>
                <w:color w:val="000000"/>
                <w:sz w:val="18"/>
              </w:rPr>
              <w:t>11.31%</w:t>
            </w:r>
          </w:p>
        </w:tc>
        <w:tc>
          <w:tcPr>
            <w:tcW w:type="dxa" w:w="1267"/>
            <w:vAlign w:val="center"/>
            <w:tcMar>
              <w:top w:w="80" w:type="dxa"/>
              <w:start w:w="100" w:type="dxa"/>
              <w:bottom w:w="80" w:type="dxa"/>
              <w:end w:w="100" w:type="dxa"/>
            </w:tcMar>
            <w:tcBorders>
              <w:top w:val="single" w:sz="4" w:space="0" w:color="000000"/>
              <w:left w:val="single" w:sz="4" w:space="0" w:color="000000"/>
              <w:bottom w:val="single" w:sz="4" w:space="0" w:color="000000"/>
              <w:right w:val="single" w:sz="4" w:space="0" w:color="000000"/>
            </w:tcBorders>
          </w:tcPr>
          <w:p>
            <w:pPr>
              <w:spacing w:after="0" w:line="240" w:lineRule="auto"/>
              <w:jc w:val="center"/>
            </w:pPr>
            <w:r>
              <w:rPr>
                <w:rFonts w:ascii="Times New Roman" w:hAnsi="Times New Roman"/>
                <w:b w:val="0"/>
                <w:i w:val="0"/>
                <w:color w:val="000000"/>
                <w:sz w:val="18"/>
              </w:rPr>
              <w:t>0.1289</w:t>
            </w:r>
          </w:p>
        </w:tc>
        <w:tc>
          <w:tcPr>
            <w:tcW w:type="dxa" w:w="1613"/>
            <w:vAlign w:val="center"/>
            <w:tcMar>
              <w:top w:w="80" w:type="dxa"/>
              <w:start w:w="100" w:type="dxa"/>
              <w:bottom w:w="80" w:type="dxa"/>
              <w:end w:w="100" w:type="dxa"/>
            </w:tcMar>
            <w:tcBorders>
              <w:top w:val="single" w:sz="4" w:space="0" w:color="000000"/>
              <w:left w:val="single" w:sz="4" w:space="0" w:color="000000"/>
              <w:bottom w:val="single" w:sz="4" w:space="0" w:color="000000"/>
              <w:right w:val="single" w:sz="4" w:space="0" w:color="000000"/>
            </w:tcBorders>
          </w:tcPr>
          <w:p>
            <w:pPr>
              <w:spacing w:after="0" w:line="240" w:lineRule="auto"/>
              <w:jc w:val="center"/>
            </w:pPr>
            <w:r>
              <w:rPr>
                <w:rFonts w:ascii="Times New Roman" w:hAnsi="Times New Roman"/>
                <w:b w:val="0"/>
                <w:i w:val="0"/>
                <w:color w:val="000000"/>
                <w:sz w:val="18"/>
              </w:rPr>
              <w:t>0.297</w:t>
            </w:r>
          </w:p>
        </w:tc>
      </w:tr>
      <w:tr>
        <w:tc>
          <w:tcPr>
            <w:tcW w:type="dxa" w:w="3139"/>
            <w:vAlign w:val="center"/>
            <w:tcMar>
              <w:top w:w="80" w:type="dxa"/>
              <w:start w:w="100" w:type="dxa"/>
              <w:bottom w:w="80" w:type="dxa"/>
              <w:end w:w="100" w:type="dxa"/>
            </w:tcMar>
            <w:tcBorders>
              <w:top w:val="single" w:sz="4" w:space="0" w:color="000000"/>
              <w:left w:val="single" w:sz="4" w:space="0" w:color="000000"/>
              <w:bottom w:val="single" w:sz="4" w:space="0" w:color="000000"/>
              <w:right w:val="single" w:sz="4" w:space="0" w:color="000000"/>
            </w:tcBorders>
          </w:tcPr>
          <w:p>
            <w:pPr>
              <w:spacing w:after="0" w:line="240" w:lineRule="auto"/>
              <w:jc w:val="left"/>
            </w:pPr>
            <w:r>
              <w:rPr>
                <w:rFonts w:ascii="Times New Roman" w:hAnsi="Times New Roman"/>
                <w:b w:val="0"/>
                <w:i w:val="0"/>
                <w:color w:val="000000"/>
                <w:sz w:val="18"/>
              </w:rPr>
              <w:t>Remove eigenvectors 0-3</w:t>
            </w:r>
          </w:p>
        </w:tc>
        <w:tc>
          <w:tcPr>
            <w:tcW w:type="dxa" w:w="1195"/>
            <w:vAlign w:val="center"/>
            <w:tcMar>
              <w:top w:w="80" w:type="dxa"/>
              <w:start w:w="100" w:type="dxa"/>
              <w:bottom w:w="80" w:type="dxa"/>
              <w:end w:w="100" w:type="dxa"/>
            </w:tcMar>
            <w:tcBorders>
              <w:top w:val="single" w:sz="4" w:space="0" w:color="000000"/>
              <w:left w:val="single" w:sz="4" w:space="0" w:color="000000"/>
              <w:bottom w:val="single" w:sz="4" w:space="0" w:color="000000"/>
              <w:right w:val="single" w:sz="4" w:space="0" w:color="000000"/>
            </w:tcBorders>
          </w:tcPr>
          <w:p>
            <w:pPr>
              <w:spacing w:after="0" w:line="240" w:lineRule="auto"/>
              <w:jc w:val="center"/>
            </w:pPr>
            <w:r>
              <w:rPr>
                <w:rFonts w:ascii="Times New Roman" w:hAnsi="Times New Roman"/>
                <w:b w:val="0"/>
                <w:i w:val="0"/>
                <w:color w:val="000000"/>
                <w:sz w:val="18"/>
              </w:rPr>
              <w:t>4 removed</w:t>
            </w:r>
          </w:p>
        </w:tc>
        <w:tc>
          <w:tcPr>
            <w:tcW w:type="dxa" w:w="1469"/>
            <w:vAlign w:val="center"/>
            <w:tcMar>
              <w:top w:w="80" w:type="dxa"/>
              <w:start w:w="100" w:type="dxa"/>
              <w:bottom w:w="80" w:type="dxa"/>
              <w:end w:w="100" w:type="dxa"/>
            </w:tcMar>
            <w:tcBorders>
              <w:top w:val="single" w:sz="4" w:space="0" w:color="000000"/>
              <w:left w:val="single" w:sz="4" w:space="0" w:color="000000"/>
              <w:bottom w:val="single" w:sz="4" w:space="0" w:color="000000"/>
              <w:right w:val="single" w:sz="4" w:space="0" w:color="000000"/>
            </w:tcBorders>
          </w:tcPr>
          <w:p>
            <w:pPr>
              <w:spacing w:after="0" w:line="240" w:lineRule="auto"/>
              <w:jc w:val="center"/>
            </w:pPr>
            <w:r>
              <w:rPr>
                <w:rFonts w:ascii="Times New Roman" w:hAnsi="Times New Roman"/>
                <w:b w:val="0"/>
                <w:i w:val="0"/>
                <w:color w:val="000000"/>
                <w:sz w:val="18"/>
              </w:rPr>
              <w:t>82.31%</w:t>
            </w:r>
          </w:p>
        </w:tc>
        <w:tc>
          <w:tcPr>
            <w:tcW w:type="dxa" w:w="1267"/>
            <w:vAlign w:val="center"/>
            <w:tcMar>
              <w:top w:w="80" w:type="dxa"/>
              <w:start w:w="100" w:type="dxa"/>
              <w:bottom w:w="80" w:type="dxa"/>
              <w:end w:w="100" w:type="dxa"/>
            </w:tcMar>
            <w:tcBorders>
              <w:top w:val="single" w:sz="4" w:space="0" w:color="000000"/>
              <w:left w:val="single" w:sz="4" w:space="0" w:color="000000"/>
              <w:bottom w:val="single" w:sz="4" w:space="0" w:color="000000"/>
              <w:right w:val="single" w:sz="4" w:space="0" w:color="000000"/>
            </w:tcBorders>
          </w:tcPr>
          <w:p>
            <w:pPr>
              <w:spacing w:after="0" w:line="240" w:lineRule="auto"/>
              <w:jc w:val="center"/>
            </w:pPr>
            <w:r>
              <w:rPr>
                <w:rFonts w:ascii="Times New Roman" w:hAnsi="Times New Roman"/>
                <w:b w:val="0"/>
                <w:i w:val="0"/>
                <w:color w:val="000000"/>
                <w:sz w:val="18"/>
              </w:rPr>
              <w:t>0.4185</w:t>
            </w:r>
          </w:p>
        </w:tc>
        <w:tc>
          <w:tcPr>
            <w:tcW w:type="dxa" w:w="1613"/>
            <w:vAlign w:val="center"/>
            <w:tcMar>
              <w:top w:w="80" w:type="dxa"/>
              <w:start w:w="100" w:type="dxa"/>
              <w:bottom w:w="80" w:type="dxa"/>
              <w:end w:w="100" w:type="dxa"/>
            </w:tcMar>
            <w:tcBorders>
              <w:top w:val="single" w:sz="4" w:space="0" w:color="000000"/>
              <w:left w:val="single" w:sz="4" w:space="0" w:color="000000"/>
              <w:bottom w:val="single" w:sz="4" w:space="0" w:color="000000"/>
              <w:right w:val="single" w:sz="4" w:space="0" w:color="000000"/>
            </w:tcBorders>
          </w:tcPr>
          <w:p>
            <w:pPr>
              <w:spacing w:after="0" w:line="240" w:lineRule="auto"/>
              <w:jc w:val="center"/>
            </w:pPr>
            <w:r>
              <w:rPr>
                <w:rFonts w:ascii="Times New Roman" w:hAnsi="Times New Roman"/>
                <w:b w:val="0"/>
                <w:i w:val="0"/>
                <w:color w:val="000000"/>
                <w:sz w:val="18"/>
              </w:rPr>
              <w:t>0.965</w:t>
            </w:r>
          </w:p>
        </w:tc>
      </w:tr>
    </w:tbl>
    <w:p>
      <w:pPr>
        <w:keepNext w:val="0"/>
        <w:spacing w:before="0" w:after="160" w:line="276" w:lineRule="auto"/>
      </w:pPr>
      <w:r>
        <w:rPr>
          <w:rFonts w:ascii="Times New Roman" w:hAnsi="Times New Roman"/>
          <w:b w:val="0"/>
          <w:i/>
          <w:color w:val="000000"/>
          <w:sz w:val="20"/>
        </w:rPr>
        <w:t>Table 1. Confirmatory full-GSM8K results for interventions at the answer-cue endpoint.</w:t>
      </w:r>
    </w:p>
    <w:p>
      <w:pPr>
        <w:keepNext w:val="0"/>
        <w:spacing w:before="0" w:after="120" w:line="276" w:lineRule="auto"/>
      </w:pPr>
      <w:r>
        <w:rPr>
          <w:rFonts w:ascii="Times New Roman" w:hAnsi="Times New Roman"/>
          <w:b w:val="0"/>
          <w:i w:val="0"/>
          <w:color w:val="000000"/>
          <w:sz w:val="24"/>
        </w:rPr>
        <w:t>All preregistered confirmation conditions passed. Retaining eigendirections 4-31 produced 0.3806 exact-match accuracy, equal to 87.8 percent of the 0.4337 baseline. Removing the same 28 directions reduced accuracy to 0.1289, a loss of 30.48 percentage points; the paired confidence interval was +27.90 to +33.13 points and the exact McNemar p-value was 5.7 x 10^-101. Four matched random rank-28 subspaces retained only 6.5 to 8.7 percent of baseline accuracy. The selected band was also stable across disjoint calibration halves, with mean principal-angle cosines of 0.979 and 0.968.</w:t>
      </w:r>
    </w:p>
    <w:p>
      <w:pPr>
        <w:keepNext w:val="0"/>
        <w:spacing w:before="0" w:after="120" w:line="276" w:lineRule="auto"/>
      </w:pPr>
      <w:r>
        <w:rPr>
          <w:rFonts w:ascii="Times New Roman" w:hAnsi="Times New Roman"/>
          <w:b w:val="0"/>
          <w:i w:val="0"/>
          <w:color w:val="000000"/>
          <w:sz w:val="24"/>
        </w:rPr>
        <w:t>These results establish a bounded mechanistic claim: at this frozen CODI checkpoint, dataset, endpoint, and intervention type, a 28-dimensional linear subspace is both highly sufficient and strongly necessary for answer accuracy. The experiment does not establish that the same directions are universal, nonlinear, or independently interpretable. Retention also moves states away from their ordinary distribution because discarded coordinates are replaced by the mean.</w:t>
      </w:r>
    </w:p>
    <w:p>
      <w:pPr>
        <w:pStyle w:val="Heading1"/>
        <w:keepNext/>
        <w:spacing w:before="240" w:after="120" w:line="276" w:lineRule="auto"/>
      </w:pPr>
      <w:r>
        <w:rPr>
          <w:rFonts w:ascii="Times New Roman" w:hAnsi="Times New Roman"/>
          <w:b/>
          <w:i w:val="0"/>
          <w:color w:val="000000"/>
          <w:sz w:val="28"/>
        </w:rPr>
        <w:t>6. Proposed Eigenspace Readout</w:t>
      </w:r>
    </w:p>
    <w:p>
      <w:pPr>
        <w:pStyle w:val="Heading2"/>
        <w:keepNext/>
        <w:spacing w:before="180" w:after="80" w:line="276" w:lineRule="auto"/>
      </w:pPr>
      <w:r>
        <w:rPr>
          <w:rFonts w:ascii="Times New Roman" w:hAnsi="Times New Roman"/>
          <w:b/>
          <w:i w:val="0"/>
          <w:color w:val="000000"/>
          <w:sz w:val="24"/>
        </w:rPr>
        <w:t>6.1 Standard language-model head</w:t>
      </w:r>
    </w:p>
    <w:p>
      <w:pPr>
        <w:keepNext w:val="0"/>
        <w:spacing w:before="0" w:after="120" w:line="276" w:lineRule="auto"/>
      </w:pPr>
      <w:r>
        <w:rPr>
          <w:rFonts w:ascii="Times New Roman" w:hAnsi="Times New Roman"/>
          <w:b w:val="0"/>
          <w:i w:val="0"/>
          <w:color w:val="000000"/>
          <w:sz w:val="24"/>
        </w:rPr>
        <w:t>Let h be the final 1 by 768 hidden state and W be the learned 50,257 by 768 vocabulary matrix. The standard head calculates:</w:t>
      </w:r>
    </w:p>
    <w:p>
      <w:pPr>
        <w:keepNext w:val="0"/>
        <w:spacing w:before="60" w:after="140" w:line="276" w:lineRule="auto"/>
        <w:jc w:val="center"/>
      </w:pPr>
      <w:r>
        <w:rPr>
          <w:rFonts w:ascii="Times New Roman" w:hAnsi="Times New Roman"/>
          <w:b w:val="0"/>
          <w:i w:val="0"/>
          <w:color w:val="000000"/>
          <w:sz w:val="22"/>
        </w:rPr>
        <w:t>z = h W^T</w:t>
      </w:r>
    </w:p>
    <w:p>
      <w:pPr>
        <w:keepNext w:val="0"/>
        <w:spacing w:before="0" w:after="120" w:line="276" w:lineRule="auto"/>
      </w:pPr>
      <w:r>
        <w:rPr>
          <w:rFonts w:ascii="Times New Roman" w:hAnsi="Times New Roman"/>
          <w:b w:val="0"/>
          <w:i w:val="0"/>
          <w:color w:val="000000"/>
          <w:sz w:val="24"/>
        </w:rPr>
        <w:t>The result z contains 50,257 logits. Each logit is a score for one vocabulary token. Greedy decoding selects the token with the largest score. This multiplication requires 768 x 50,257 = 38,597,376 multiply-accumulate operations for one state.</w:t>
      </w:r>
    </w:p>
    <w:p>
      <w:pPr>
        <w:pStyle w:val="Heading2"/>
        <w:keepNext/>
        <w:spacing w:before="180" w:after="80" w:line="276" w:lineRule="auto"/>
      </w:pPr>
      <w:r>
        <w:rPr>
          <w:rFonts w:ascii="Times New Roman" w:hAnsi="Times New Roman"/>
          <w:b/>
          <w:i w:val="0"/>
          <w:color w:val="000000"/>
          <w:sz w:val="24"/>
        </w:rPr>
        <w:t>6.2 Offline head transformation</w:t>
      </w:r>
    </w:p>
    <w:p>
      <w:pPr>
        <w:keepNext w:val="0"/>
        <w:spacing w:before="0" w:after="120" w:line="276" w:lineRule="auto"/>
      </w:pPr>
      <w:r>
        <w:rPr>
          <w:rFonts w:ascii="Times New Roman" w:hAnsi="Times New Roman"/>
          <w:b w:val="0"/>
          <w:i w:val="0"/>
          <w:color w:val="000000"/>
          <w:sz w:val="24"/>
        </w:rPr>
        <w:t>Choose r columns of U and place them in U_r, where r is 28 or 32. Before inference, project every vocabulary detector into the selected eigenspace:</w:t>
      </w:r>
    </w:p>
    <w:p>
      <w:pPr>
        <w:keepNext w:val="0"/>
        <w:spacing w:before="60" w:after="140" w:line="276" w:lineRule="auto"/>
        <w:jc w:val="center"/>
      </w:pPr>
      <w:r>
        <w:rPr>
          <w:rFonts w:ascii="Times New Roman" w:hAnsi="Times New Roman"/>
          <w:b w:val="0"/>
          <w:i w:val="0"/>
          <w:color w:val="000000"/>
          <w:sz w:val="22"/>
        </w:rPr>
        <w:t>A = W U_r</w:t>
      </w:r>
    </w:p>
    <w:p>
      <w:pPr>
        <w:keepNext w:val="0"/>
        <w:spacing w:before="0" w:after="120" w:line="276" w:lineRule="auto"/>
      </w:pPr>
      <w:r>
        <w:rPr>
          <w:rFonts w:ascii="Times New Roman" w:hAnsi="Times New Roman"/>
          <w:b w:val="0"/>
          <w:i w:val="0"/>
          <w:color w:val="000000"/>
          <w:sz w:val="24"/>
        </w:rPr>
        <w:t>For rank 28, A has shape 50,257 by 28. For rank 32, it has shape 50,257 by 32. The centering contribution is also computed once as b = mu W^T. Neither A nor b depends on the incoming question, so both can be stored with the optimized model.</w:t>
      </w:r>
    </w:p>
    <w:p>
      <w:pPr>
        <w:pStyle w:val="Heading2"/>
        <w:keepNext/>
        <w:spacing w:before="180" w:after="80" w:line="276" w:lineRule="auto"/>
      </w:pPr>
      <w:r>
        <w:rPr>
          <w:rFonts w:ascii="Times New Roman" w:hAnsi="Times New Roman"/>
          <w:b/>
          <w:i w:val="0"/>
          <w:color w:val="000000"/>
          <w:sz w:val="24"/>
        </w:rPr>
        <w:t>6.3 Online inference</w:t>
      </w:r>
    </w:p>
    <w:p>
      <w:pPr>
        <w:keepNext w:val="0"/>
        <w:spacing w:before="0" w:after="120" w:line="276" w:lineRule="auto"/>
      </w:pPr>
      <w:r>
        <w:rPr>
          <w:rFonts w:ascii="Times New Roman" w:hAnsi="Times New Roman"/>
          <w:b w:val="0"/>
          <w:i w:val="0"/>
          <w:color w:val="000000"/>
          <w:sz w:val="24"/>
        </w:rPr>
        <w:t>For each final hidden state, inference performs two smaller operations:</w:t>
      </w:r>
    </w:p>
    <w:p>
      <w:pPr>
        <w:keepNext w:val="0"/>
        <w:spacing w:before="60" w:after="140" w:line="276" w:lineRule="auto"/>
        <w:jc w:val="center"/>
      </w:pPr>
      <w:r>
        <w:rPr>
          <w:rFonts w:ascii="Times New Roman" w:hAnsi="Times New Roman"/>
          <w:b w:val="0"/>
          <w:i w:val="0"/>
          <w:color w:val="000000"/>
          <w:sz w:val="22"/>
        </w:rPr>
        <w:t>c = (h - mu) U_r</w:t>
      </w:r>
    </w:p>
    <w:p>
      <w:pPr>
        <w:keepNext w:val="0"/>
        <w:spacing w:before="60" w:after="140" w:line="276" w:lineRule="auto"/>
        <w:jc w:val="center"/>
      </w:pPr>
      <w:r>
        <w:rPr>
          <w:rFonts w:ascii="Times New Roman" w:hAnsi="Times New Roman"/>
          <w:b w:val="0"/>
          <w:i w:val="0"/>
          <w:color w:val="000000"/>
          <w:sz w:val="22"/>
        </w:rPr>
        <w:t>z_hat = b + c A^T</w:t>
      </w:r>
    </w:p>
    <w:p>
      <w:pPr>
        <w:keepNext w:val="0"/>
        <w:spacing w:before="0" w:after="120" w:line="276" w:lineRule="auto"/>
      </w:pPr>
      <w:r>
        <w:rPr>
          <w:rFonts w:ascii="Times New Roman" w:hAnsi="Times New Roman"/>
          <w:b w:val="0"/>
          <w:i w:val="0"/>
          <w:color w:val="000000"/>
          <w:sz w:val="24"/>
        </w:rPr>
        <w:t>The first operation converts 768 coordinates into r eigenspace coordinates. The second converts those coordinates into scores for the full vocabulary. The full vocabulary remains available; the approximation restricts how hidden-state information reaches the vocabulary matrix. Rank 28 corresponds exactly to the discovered answer-bearing band 4-31. Rank 32 additionally includes directions 0-3 and achieved higher retained accuracy in the preliminary intervention.</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3053"/>
            <w:tcMar>
              <w:top w:w="80" w:type="dxa"/>
              <w:start w:w="100" w:type="dxa"/>
              <w:bottom w:w="80" w:type="dxa"/>
              <w:end w:w="100" w:type="dxa"/>
            </w:tcMar>
            <w:vAlign w:val="center"/>
            <w:tcBorders>
              <w:top w:val="single" w:sz="4" w:space="0" w:color="000000"/>
              <w:left w:val="single" w:sz="4" w:space="0" w:color="000000"/>
              <w:bottom w:val="single" w:sz="4" w:space="0" w:color="000000"/>
              <w:right w:val="single" w:sz="4" w:space="0" w:color="000000"/>
            </w:tcBorders>
          </w:tcPr>
          <w:p>
            <w:pPr>
              <w:spacing w:after="0"/>
              <w:jc w:val="center"/>
            </w:pPr>
            <w:r>
              <w:rPr>
                <w:rFonts w:ascii="Times New Roman" w:hAnsi="Times New Roman"/>
                <w:b/>
                <w:i w:val="0"/>
                <w:color w:val="000000"/>
                <w:sz w:val="18"/>
              </w:rPr>
              <w:t>Readout</w:t>
            </w:r>
          </w:p>
        </w:tc>
        <w:tc>
          <w:tcPr>
            <w:tcW w:type="dxa" w:w="2189"/>
            <w:tcMar>
              <w:top w:w="80" w:type="dxa"/>
              <w:start w:w="100" w:type="dxa"/>
              <w:bottom w:w="80" w:type="dxa"/>
              <w:end w:w="100" w:type="dxa"/>
            </w:tcMar>
            <w:vAlign w:val="center"/>
            <w:tcBorders>
              <w:top w:val="single" w:sz="4" w:space="0" w:color="000000"/>
              <w:left w:val="single" w:sz="4" w:space="0" w:color="000000"/>
              <w:bottom w:val="single" w:sz="4" w:space="0" w:color="000000"/>
              <w:right w:val="single" w:sz="4" w:space="0" w:color="000000"/>
            </w:tcBorders>
          </w:tcPr>
          <w:p>
            <w:pPr>
              <w:spacing w:after="0"/>
              <w:jc w:val="center"/>
            </w:pPr>
            <w:r>
              <w:rPr>
                <w:rFonts w:ascii="Times New Roman" w:hAnsi="Times New Roman"/>
                <w:b/>
                <w:i w:val="0"/>
                <w:color w:val="000000"/>
                <w:sz w:val="18"/>
              </w:rPr>
              <w:t>Online MACs per token</w:t>
            </w:r>
          </w:p>
        </w:tc>
        <w:tc>
          <w:tcPr>
            <w:tcW w:type="dxa" w:w="1987"/>
            <w:tcMar>
              <w:top w:w="80" w:type="dxa"/>
              <w:start w:w="100" w:type="dxa"/>
              <w:bottom w:w="80" w:type="dxa"/>
              <w:end w:w="100" w:type="dxa"/>
            </w:tcMar>
            <w:vAlign w:val="center"/>
            <w:tcBorders>
              <w:top w:val="single" w:sz="4" w:space="0" w:color="000000"/>
              <w:left w:val="single" w:sz="4" w:space="0" w:color="000000"/>
              <w:bottom w:val="single" w:sz="4" w:space="0" w:color="000000"/>
              <w:right w:val="single" w:sz="4" w:space="0" w:color="000000"/>
            </w:tcBorders>
          </w:tcPr>
          <w:p>
            <w:pPr>
              <w:spacing w:after="0"/>
              <w:jc w:val="center"/>
            </w:pPr>
            <w:r>
              <w:rPr>
                <w:rFonts w:ascii="Times New Roman" w:hAnsi="Times New Roman"/>
                <w:b/>
                <w:i w:val="0"/>
                <w:color w:val="000000"/>
                <w:sz w:val="18"/>
              </w:rPr>
              <w:t>Theoretical reduction</w:t>
            </w:r>
          </w:p>
        </w:tc>
        <w:tc>
          <w:tcPr>
            <w:tcW w:type="dxa" w:w="2131"/>
            <w:tcMar>
              <w:top w:w="80" w:type="dxa"/>
              <w:start w:w="100" w:type="dxa"/>
              <w:bottom w:w="80" w:type="dxa"/>
              <w:end w:w="100" w:type="dxa"/>
            </w:tcMar>
            <w:vAlign w:val="center"/>
            <w:tcBorders>
              <w:top w:val="single" w:sz="4" w:space="0" w:color="000000"/>
              <w:left w:val="single" w:sz="4" w:space="0" w:color="000000"/>
              <w:bottom w:val="single" w:sz="4" w:space="0" w:color="000000"/>
              <w:right w:val="single" w:sz="4" w:space="0" w:color="000000"/>
            </w:tcBorders>
          </w:tcPr>
          <w:p>
            <w:pPr>
              <w:spacing w:after="0"/>
              <w:jc w:val="center"/>
            </w:pPr>
            <w:r>
              <w:rPr>
                <w:rFonts w:ascii="Times New Roman" w:hAnsi="Times New Roman"/>
                <w:b/>
                <w:i w:val="0"/>
                <w:color w:val="000000"/>
                <w:sz w:val="18"/>
              </w:rPr>
              <w:t>T4 time</w:t>
            </w:r>
          </w:p>
        </w:tc>
      </w:tr>
      <w:tr>
        <w:tc>
          <w:tcPr>
            <w:tcW w:type="dxa" w:w="3053"/>
            <w:tcMar>
              <w:top w:w="80" w:type="dxa"/>
              <w:start w:w="100" w:type="dxa"/>
              <w:bottom w:w="80" w:type="dxa"/>
              <w:end w:w="100" w:type="dxa"/>
            </w:tcMar>
            <w:vAlign w:val="center"/>
            <w:tcBorders>
              <w:top w:val="single" w:sz="4" w:space="0" w:color="000000"/>
              <w:left w:val="single" w:sz="4" w:space="0" w:color="000000"/>
              <w:bottom w:val="single" w:sz="4" w:space="0" w:color="000000"/>
              <w:right w:val="single" w:sz="4" w:space="0" w:color="000000"/>
            </w:tcBorders>
          </w:tcPr>
          <w:p>
            <w:pPr>
              <w:spacing w:after="0"/>
              <w:jc w:val="left"/>
            </w:pPr>
            <w:r>
              <w:rPr>
                <w:rFonts w:ascii="Times New Roman" w:hAnsi="Times New Roman"/>
                <w:b w:val="0"/>
                <w:i w:val="0"/>
                <w:color w:val="000000"/>
                <w:sz w:val="18"/>
              </w:rPr>
              <w:t>Full 768-dimensional head</w:t>
            </w:r>
          </w:p>
        </w:tc>
        <w:tc>
          <w:tcPr>
            <w:tcW w:type="dxa" w:w="2189"/>
            <w:tcMar>
              <w:top w:w="80" w:type="dxa"/>
              <w:start w:w="100" w:type="dxa"/>
              <w:bottom w:w="80" w:type="dxa"/>
              <w:end w:w="100" w:type="dxa"/>
            </w:tcMar>
            <w:vAlign w:val="center"/>
            <w:tcBorders>
              <w:top w:val="single" w:sz="4" w:space="0" w:color="000000"/>
              <w:left w:val="single" w:sz="4" w:space="0" w:color="000000"/>
              <w:bottom w:val="single" w:sz="4" w:space="0" w:color="000000"/>
              <w:right w:val="single" w:sz="4" w:space="0" w:color="000000"/>
            </w:tcBorders>
          </w:tcPr>
          <w:p>
            <w:pPr>
              <w:spacing w:after="0"/>
              <w:jc w:val="center"/>
            </w:pPr>
            <w:r>
              <w:rPr>
                <w:rFonts w:ascii="Times New Roman" w:hAnsi="Times New Roman"/>
                <w:b w:val="0"/>
                <w:i w:val="0"/>
                <w:color w:val="000000"/>
                <w:sz w:val="18"/>
              </w:rPr>
              <w:t>38,597,376</w:t>
            </w:r>
          </w:p>
        </w:tc>
        <w:tc>
          <w:tcPr>
            <w:tcW w:type="dxa" w:w="1987"/>
            <w:tcMar>
              <w:top w:w="80" w:type="dxa"/>
              <w:start w:w="100" w:type="dxa"/>
              <w:bottom w:w="80" w:type="dxa"/>
              <w:end w:w="100" w:type="dxa"/>
            </w:tcMar>
            <w:vAlign w:val="center"/>
            <w:tcBorders>
              <w:top w:val="single" w:sz="4" w:space="0" w:color="000000"/>
              <w:left w:val="single" w:sz="4" w:space="0" w:color="000000"/>
              <w:bottom w:val="single" w:sz="4" w:space="0" w:color="000000"/>
              <w:right w:val="single" w:sz="4" w:space="0" w:color="000000"/>
            </w:tcBorders>
          </w:tcPr>
          <w:p>
            <w:pPr>
              <w:spacing w:after="0"/>
              <w:jc w:val="center"/>
            </w:pPr>
            <w:r>
              <w:rPr>
                <w:rFonts w:ascii="Times New Roman" w:hAnsi="Times New Roman"/>
                <w:b w:val="0"/>
                <w:i w:val="0"/>
                <w:color w:val="000000"/>
                <w:sz w:val="18"/>
              </w:rPr>
              <w:t>1.00x</w:t>
            </w:r>
          </w:p>
        </w:tc>
        <w:tc>
          <w:tcPr>
            <w:tcW w:type="dxa" w:w="2131"/>
            <w:tcMar>
              <w:top w:w="80" w:type="dxa"/>
              <w:start w:w="100" w:type="dxa"/>
              <w:bottom w:w="80" w:type="dxa"/>
              <w:end w:w="100" w:type="dxa"/>
            </w:tcMar>
            <w:vAlign w:val="center"/>
            <w:tcBorders>
              <w:top w:val="single" w:sz="4" w:space="0" w:color="000000"/>
              <w:left w:val="single" w:sz="4" w:space="0" w:color="000000"/>
              <w:bottom w:val="single" w:sz="4" w:space="0" w:color="000000"/>
              <w:right w:val="single" w:sz="4" w:space="0" w:color="000000"/>
            </w:tcBorders>
          </w:tcPr>
          <w:p>
            <w:pPr>
              <w:spacing w:after="0"/>
              <w:jc w:val="center"/>
            </w:pPr>
            <w:r>
              <w:rPr>
                <w:rFonts w:ascii="Times New Roman" w:hAnsi="Times New Roman"/>
                <w:b w:val="0"/>
                <w:i w:val="0"/>
                <w:color w:val="000000"/>
                <w:sz w:val="18"/>
              </w:rPr>
              <w:t>1,327 microseconds</w:t>
            </w:r>
          </w:p>
        </w:tc>
      </w:tr>
      <w:tr>
        <w:tc>
          <w:tcPr>
            <w:tcW w:type="dxa" w:w="3053"/>
            <w:tcMar>
              <w:top w:w="80" w:type="dxa"/>
              <w:start w:w="100" w:type="dxa"/>
              <w:bottom w:w="80" w:type="dxa"/>
              <w:end w:w="100" w:type="dxa"/>
            </w:tcMar>
            <w:vAlign w:val="center"/>
            <w:tcBorders>
              <w:top w:val="single" w:sz="4" w:space="0" w:color="000000"/>
              <w:left w:val="single" w:sz="4" w:space="0" w:color="000000"/>
              <w:bottom w:val="single" w:sz="4" w:space="0" w:color="000000"/>
              <w:right w:val="single" w:sz="4" w:space="0" w:color="000000"/>
            </w:tcBorders>
          </w:tcPr>
          <w:p>
            <w:pPr>
              <w:spacing w:after="0"/>
              <w:jc w:val="left"/>
            </w:pPr>
            <w:r>
              <w:rPr>
                <w:rFonts w:ascii="Times New Roman" w:hAnsi="Times New Roman"/>
                <w:b w:val="0"/>
                <w:i w:val="0"/>
                <w:color w:val="000000"/>
                <w:sz w:val="18"/>
              </w:rPr>
              <w:t>Rank-28 eigenspace head</w:t>
            </w:r>
          </w:p>
        </w:tc>
        <w:tc>
          <w:tcPr>
            <w:tcW w:type="dxa" w:w="2189"/>
            <w:tcMar>
              <w:top w:w="80" w:type="dxa"/>
              <w:start w:w="100" w:type="dxa"/>
              <w:bottom w:w="80" w:type="dxa"/>
              <w:end w:w="100" w:type="dxa"/>
            </w:tcMar>
            <w:vAlign w:val="center"/>
            <w:tcBorders>
              <w:top w:val="single" w:sz="4" w:space="0" w:color="000000"/>
              <w:left w:val="single" w:sz="4" w:space="0" w:color="000000"/>
              <w:bottom w:val="single" w:sz="4" w:space="0" w:color="000000"/>
              <w:right w:val="single" w:sz="4" w:space="0" w:color="000000"/>
            </w:tcBorders>
          </w:tcPr>
          <w:p>
            <w:pPr>
              <w:spacing w:after="0"/>
              <w:jc w:val="center"/>
            </w:pPr>
            <w:r>
              <w:rPr>
                <w:rFonts w:ascii="Times New Roman" w:hAnsi="Times New Roman"/>
                <w:b w:val="0"/>
                <w:i w:val="0"/>
                <w:color w:val="000000"/>
                <w:sz w:val="18"/>
              </w:rPr>
              <w:t>1,428,700</w:t>
            </w:r>
          </w:p>
        </w:tc>
        <w:tc>
          <w:tcPr>
            <w:tcW w:type="dxa" w:w="1987"/>
            <w:tcMar>
              <w:top w:w="80" w:type="dxa"/>
              <w:start w:w="100" w:type="dxa"/>
              <w:bottom w:w="80" w:type="dxa"/>
              <w:end w:w="100" w:type="dxa"/>
            </w:tcMar>
            <w:vAlign w:val="center"/>
            <w:tcBorders>
              <w:top w:val="single" w:sz="4" w:space="0" w:color="000000"/>
              <w:left w:val="single" w:sz="4" w:space="0" w:color="000000"/>
              <w:bottom w:val="single" w:sz="4" w:space="0" w:color="000000"/>
              <w:right w:val="single" w:sz="4" w:space="0" w:color="000000"/>
            </w:tcBorders>
          </w:tcPr>
          <w:p>
            <w:pPr>
              <w:spacing w:after="0"/>
              <w:jc w:val="center"/>
            </w:pPr>
            <w:r>
              <w:rPr>
                <w:rFonts w:ascii="Times New Roman" w:hAnsi="Times New Roman"/>
                <w:b w:val="0"/>
                <w:i w:val="0"/>
                <w:color w:val="000000"/>
                <w:sz w:val="18"/>
              </w:rPr>
              <w:t>27.0x fewer</w:t>
            </w:r>
          </w:p>
        </w:tc>
        <w:tc>
          <w:tcPr>
            <w:tcW w:type="dxa" w:w="2131"/>
            <w:tcMar>
              <w:top w:w="80" w:type="dxa"/>
              <w:start w:w="100" w:type="dxa"/>
              <w:bottom w:w="80" w:type="dxa"/>
              <w:end w:w="100" w:type="dxa"/>
            </w:tcMar>
            <w:vAlign w:val="center"/>
            <w:tcBorders>
              <w:top w:val="single" w:sz="4" w:space="0" w:color="000000"/>
              <w:left w:val="single" w:sz="4" w:space="0" w:color="000000"/>
              <w:bottom w:val="single" w:sz="4" w:space="0" w:color="000000"/>
              <w:right w:val="single" w:sz="4" w:space="0" w:color="000000"/>
            </w:tcBorders>
          </w:tcPr>
          <w:p>
            <w:pPr>
              <w:spacing w:after="0"/>
              <w:jc w:val="center"/>
            </w:pPr>
            <w:r>
              <w:rPr>
                <w:rFonts w:ascii="Times New Roman" w:hAnsi="Times New Roman"/>
                <w:b w:val="0"/>
                <w:i w:val="0"/>
                <w:color w:val="000000"/>
                <w:sz w:val="18"/>
              </w:rPr>
              <w:t>120 microseconds</w:t>
            </w:r>
          </w:p>
        </w:tc>
      </w:tr>
      <w:tr>
        <w:tc>
          <w:tcPr>
            <w:tcW w:type="dxa" w:w="3053"/>
            <w:tcMar>
              <w:top w:w="80" w:type="dxa"/>
              <w:start w:w="100" w:type="dxa"/>
              <w:bottom w:w="80" w:type="dxa"/>
              <w:end w:w="100" w:type="dxa"/>
            </w:tcMar>
            <w:vAlign w:val="center"/>
            <w:tcBorders>
              <w:top w:val="single" w:sz="4" w:space="0" w:color="000000"/>
              <w:left w:val="single" w:sz="4" w:space="0" w:color="000000"/>
              <w:bottom w:val="single" w:sz="4" w:space="0" w:color="000000"/>
              <w:right w:val="single" w:sz="4" w:space="0" w:color="000000"/>
            </w:tcBorders>
          </w:tcPr>
          <w:p>
            <w:pPr>
              <w:spacing w:after="0"/>
              <w:jc w:val="left"/>
            </w:pPr>
            <w:r>
              <w:rPr>
                <w:rFonts w:ascii="Times New Roman" w:hAnsi="Times New Roman"/>
                <w:b w:val="0"/>
                <w:i w:val="0"/>
                <w:color w:val="000000"/>
                <w:sz w:val="18"/>
              </w:rPr>
              <w:t>Rank-32 eigenspace head</w:t>
            </w:r>
          </w:p>
        </w:tc>
        <w:tc>
          <w:tcPr>
            <w:tcW w:type="dxa" w:w="2189"/>
            <w:tcMar>
              <w:top w:w="80" w:type="dxa"/>
              <w:start w:w="100" w:type="dxa"/>
              <w:bottom w:w="80" w:type="dxa"/>
              <w:end w:w="100" w:type="dxa"/>
            </w:tcMar>
            <w:vAlign w:val="center"/>
            <w:tcBorders>
              <w:top w:val="single" w:sz="4" w:space="0" w:color="000000"/>
              <w:left w:val="single" w:sz="4" w:space="0" w:color="000000"/>
              <w:bottom w:val="single" w:sz="4" w:space="0" w:color="000000"/>
              <w:right w:val="single" w:sz="4" w:space="0" w:color="000000"/>
            </w:tcBorders>
          </w:tcPr>
          <w:p>
            <w:pPr>
              <w:spacing w:after="0"/>
              <w:jc w:val="center"/>
            </w:pPr>
            <w:r>
              <w:rPr>
                <w:rFonts w:ascii="Times New Roman" w:hAnsi="Times New Roman"/>
                <w:b w:val="0"/>
                <w:i w:val="0"/>
                <w:color w:val="000000"/>
                <w:sz w:val="18"/>
              </w:rPr>
              <w:t>1,632,800</w:t>
            </w:r>
          </w:p>
        </w:tc>
        <w:tc>
          <w:tcPr>
            <w:tcW w:type="dxa" w:w="1987"/>
            <w:tcMar>
              <w:top w:w="80" w:type="dxa"/>
              <w:start w:w="100" w:type="dxa"/>
              <w:bottom w:w="80" w:type="dxa"/>
              <w:end w:w="100" w:type="dxa"/>
            </w:tcMar>
            <w:vAlign w:val="center"/>
            <w:tcBorders>
              <w:top w:val="single" w:sz="4" w:space="0" w:color="000000"/>
              <w:left w:val="single" w:sz="4" w:space="0" w:color="000000"/>
              <w:bottom w:val="single" w:sz="4" w:space="0" w:color="000000"/>
              <w:right w:val="single" w:sz="4" w:space="0" w:color="000000"/>
            </w:tcBorders>
          </w:tcPr>
          <w:p>
            <w:pPr>
              <w:spacing w:after="0"/>
              <w:jc w:val="center"/>
            </w:pPr>
            <w:r>
              <w:rPr>
                <w:rFonts w:ascii="Times New Roman" w:hAnsi="Times New Roman"/>
                <w:b w:val="0"/>
                <w:i w:val="0"/>
                <w:color w:val="000000"/>
                <w:sz w:val="18"/>
              </w:rPr>
              <w:t>23.6x fewer</w:t>
            </w:r>
          </w:p>
        </w:tc>
        <w:tc>
          <w:tcPr>
            <w:tcW w:type="dxa" w:w="2131"/>
            <w:tcMar>
              <w:top w:w="80" w:type="dxa"/>
              <w:start w:w="100" w:type="dxa"/>
              <w:bottom w:w="80" w:type="dxa"/>
              <w:end w:w="100" w:type="dxa"/>
            </w:tcMar>
            <w:vAlign w:val="center"/>
            <w:tcBorders>
              <w:top w:val="single" w:sz="4" w:space="0" w:color="000000"/>
              <w:left w:val="single" w:sz="4" w:space="0" w:color="000000"/>
              <w:bottom w:val="single" w:sz="4" w:space="0" w:color="000000"/>
              <w:right w:val="single" w:sz="4" w:space="0" w:color="000000"/>
            </w:tcBorders>
          </w:tcPr>
          <w:p>
            <w:pPr>
              <w:spacing w:after="0"/>
              <w:jc w:val="center"/>
            </w:pPr>
            <w:r>
              <w:rPr>
                <w:rFonts w:ascii="Times New Roman" w:hAnsi="Times New Roman"/>
                <w:b w:val="0"/>
                <w:i w:val="0"/>
                <w:color w:val="000000"/>
                <w:sz w:val="18"/>
              </w:rPr>
              <w:t>117 microseconds</w:t>
            </w:r>
          </w:p>
        </w:tc>
      </w:tr>
      <w:tr>
        <w:tc>
          <w:tcPr>
            <w:tcW w:type="dxa" w:w="3053"/>
            <w:tcMar>
              <w:top w:w="80" w:type="dxa"/>
              <w:start w:w="100" w:type="dxa"/>
              <w:bottom w:w="80" w:type="dxa"/>
              <w:end w:w="100" w:type="dxa"/>
            </w:tcMar>
            <w:vAlign w:val="center"/>
            <w:tcBorders>
              <w:top w:val="single" w:sz="4" w:space="0" w:color="000000"/>
              <w:left w:val="single" w:sz="4" w:space="0" w:color="000000"/>
              <w:bottom w:val="single" w:sz="4" w:space="0" w:color="000000"/>
              <w:right w:val="single" w:sz="4" w:space="0" w:color="000000"/>
            </w:tcBorders>
          </w:tcPr>
          <w:p>
            <w:pPr>
              <w:spacing w:after="0"/>
              <w:jc w:val="left"/>
            </w:pPr>
            <w:r>
              <w:rPr>
                <w:rFonts w:ascii="Times New Roman" w:hAnsi="Times New Roman"/>
                <w:b w:val="0"/>
                <w:i w:val="0"/>
                <w:color w:val="000000"/>
                <w:sz w:val="18"/>
              </w:rPr>
              <w:t>Rank-64 eigenspace head</w:t>
            </w:r>
          </w:p>
        </w:tc>
        <w:tc>
          <w:tcPr>
            <w:tcW w:type="dxa" w:w="2189"/>
            <w:tcMar>
              <w:top w:w="80" w:type="dxa"/>
              <w:start w:w="100" w:type="dxa"/>
              <w:bottom w:w="80" w:type="dxa"/>
              <w:end w:w="100" w:type="dxa"/>
            </w:tcMar>
            <w:vAlign w:val="center"/>
            <w:tcBorders>
              <w:top w:val="single" w:sz="4" w:space="0" w:color="000000"/>
              <w:left w:val="single" w:sz="4" w:space="0" w:color="000000"/>
              <w:bottom w:val="single" w:sz="4" w:space="0" w:color="000000"/>
              <w:right w:val="single" w:sz="4" w:space="0" w:color="000000"/>
            </w:tcBorders>
          </w:tcPr>
          <w:p>
            <w:pPr>
              <w:spacing w:after="0"/>
              <w:jc w:val="center"/>
            </w:pPr>
            <w:r>
              <w:rPr>
                <w:rFonts w:ascii="Times New Roman" w:hAnsi="Times New Roman"/>
                <w:b w:val="0"/>
                <w:i w:val="0"/>
                <w:color w:val="000000"/>
                <w:sz w:val="18"/>
              </w:rPr>
              <w:t>3,265,600</w:t>
            </w:r>
          </w:p>
        </w:tc>
        <w:tc>
          <w:tcPr>
            <w:tcW w:type="dxa" w:w="1987"/>
            <w:tcMar>
              <w:top w:w="80" w:type="dxa"/>
              <w:start w:w="100" w:type="dxa"/>
              <w:bottom w:w="80" w:type="dxa"/>
              <w:end w:w="100" w:type="dxa"/>
            </w:tcMar>
            <w:vAlign w:val="center"/>
            <w:tcBorders>
              <w:top w:val="single" w:sz="4" w:space="0" w:color="000000"/>
              <w:left w:val="single" w:sz="4" w:space="0" w:color="000000"/>
              <w:bottom w:val="single" w:sz="4" w:space="0" w:color="000000"/>
              <w:right w:val="single" w:sz="4" w:space="0" w:color="000000"/>
            </w:tcBorders>
          </w:tcPr>
          <w:p>
            <w:pPr>
              <w:spacing w:after="0"/>
              <w:jc w:val="center"/>
            </w:pPr>
            <w:r>
              <w:rPr>
                <w:rFonts w:ascii="Times New Roman" w:hAnsi="Times New Roman"/>
                <w:b w:val="0"/>
                <w:i w:val="0"/>
                <w:color w:val="000000"/>
                <w:sz w:val="18"/>
              </w:rPr>
              <w:t>11.8x fewer</w:t>
            </w:r>
          </w:p>
        </w:tc>
        <w:tc>
          <w:tcPr>
            <w:tcW w:type="dxa" w:w="2131"/>
            <w:tcMar>
              <w:top w:w="80" w:type="dxa"/>
              <w:start w:w="100" w:type="dxa"/>
              <w:bottom w:w="80" w:type="dxa"/>
              <w:end w:w="100" w:type="dxa"/>
            </w:tcMar>
            <w:vAlign w:val="center"/>
            <w:tcBorders>
              <w:top w:val="single" w:sz="4" w:space="0" w:color="000000"/>
              <w:left w:val="single" w:sz="4" w:space="0" w:color="000000"/>
              <w:bottom w:val="single" w:sz="4" w:space="0" w:color="000000"/>
              <w:right w:val="single" w:sz="4" w:space="0" w:color="000000"/>
            </w:tcBorders>
          </w:tcPr>
          <w:p>
            <w:pPr>
              <w:spacing w:after="0"/>
              <w:jc w:val="center"/>
            </w:pPr>
            <w:r>
              <w:rPr>
                <w:rFonts w:ascii="Times New Roman" w:hAnsi="Times New Roman"/>
                <w:b w:val="0"/>
                <w:i w:val="0"/>
                <w:color w:val="000000"/>
                <w:sz w:val="18"/>
              </w:rPr>
              <w:t>154 microseconds</w:t>
            </w:r>
          </w:p>
        </w:tc>
      </w:tr>
    </w:tbl>
    <w:p>
      <w:pPr>
        <w:keepNext w:val="0"/>
        <w:spacing w:before="0" w:after="160" w:line="276" w:lineRule="auto"/>
      </w:pPr>
      <w:r>
        <w:rPr>
          <w:rFonts w:ascii="Times New Roman" w:hAnsi="Times New Roman"/>
          <w:b w:val="0"/>
          <w:i/>
          <w:color w:val="000000"/>
          <w:sz w:val="20"/>
        </w:rPr>
        <w:t>Table 2. Isolated language-model-head measurements on a Tesla T4 in float32. These are component timings, not end-to-end generation speedups.</w:t>
      </w:r>
    </w:p>
    <w:p>
      <w:pPr>
        <w:keepNext w:val="0"/>
        <w:spacing w:before="0" w:after="120" w:line="276" w:lineRule="auto"/>
      </w:pPr>
      <w:r>
        <w:rPr>
          <w:rFonts w:ascii="Times New Roman" w:hAnsi="Times New Roman"/>
          <w:b w:val="0"/>
          <w:i w:val="0"/>
          <w:color w:val="000000"/>
          <w:sz w:val="24"/>
        </w:rPr>
        <w:t>The theoretical multiply-accumulate reduction does not translate one-for-one into elapsed-time reduction because memory movement, kernel launch cost, batching, and the transformer blocks also consume time. Nevertheless, the component benchmark shows that the factorized computation can be materially faster when implemented as dense matrix operations.</w:t>
      </w:r>
    </w:p>
    <w:p>
      <w:pPr>
        <w:pStyle w:val="Heading2"/>
        <w:keepNext/>
        <w:spacing w:before="180" w:after="80" w:line="276" w:lineRule="auto"/>
      </w:pPr>
      <w:r>
        <w:rPr>
          <w:rFonts w:ascii="Times New Roman" w:hAnsi="Times New Roman"/>
          <w:b/>
          <w:i w:val="0"/>
          <w:color w:val="000000"/>
          <w:sz w:val="24"/>
        </w:rPr>
        <w:t>6.4 Latent-budget result</w:t>
      </w:r>
    </w:p>
    <w:p>
      <w:pPr>
        <w:keepNext w:val="0"/>
        <w:spacing w:before="0" w:after="120" w:line="276" w:lineRule="auto"/>
      </w:pPr>
      <w:r>
        <w:rPr>
          <w:rFonts w:ascii="Times New Roman" w:hAnsi="Times New Roman"/>
          <w:b w:val="0"/>
          <w:i w:val="0"/>
          <w:color w:val="000000"/>
          <w:sz w:val="24"/>
        </w:rPr>
        <w:t>A separate preliminary efficiency experiment reduced CODI's six continuous latent iterations. On full GSM8K, the trained M=6 setting scored 0.4337, while M=5 scored 0.4359, a difference of +0.23 percentage points. M=4 and M=3 fell to 0.3836 and 0.3768. Thus one latent iteration could be removed without an observed accuracy cost, but batch-32 wall-clock time on the T4 was essentially flat because fixed costs dominated. This result will be re-evaluated under latency-bound batch-1 inference and combined with the low-rank readout only after each intervention is validated independently.</w:t>
      </w:r>
    </w:p>
    <w:p>
      <w:pPr>
        <w:pStyle w:val="Heading1"/>
        <w:keepNext/>
        <w:spacing w:before="240" w:after="120" w:line="276" w:lineRule="auto"/>
      </w:pPr>
      <w:r>
        <w:rPr>
          <w:rFonts w:ascii="Times New Roman" w:hAnsi="Times New Roman"/>
          <w:b/>
          <w:i w:val="0"/>
          <w:color w:val="000000"/>
          <w:sz w:val="28"/>
        </w:rPr>
        <w:t>7. Proposed Methodology</w:t>
      </w:r>
    </w:p>
    <w:p>
      <w:pPr>
        <w:pStyle w:val="Heading2"/>
        <w:keepNext/>
        <w:spacing w:before="180" w:after="80" w:line="276" w:lineRule="auto"/>
      </w:pPr>
      <w:r>
        <w:rPr>
          <w:rFonts w:ascii="Times New Roman" w:hAnsi="Times New Roman"/>
          <w:b/>
          <w:i w:val="0"/>
          <w:color w:val="000000"/>
          <w:sz w:val="24"/>
        </w:rPr>
        <w:t>7.1 Experimental design</w:t>
      </w:r>
    </w:p>
    <w:p>
      <w:pPr>
        <w:pStyle w:val="ListBullet"/>
        <w:spacing w:after="60" w:line="276" w:lineRule="auto"/>
        <w:ind w:left="360" w:hanging="216"/>
      </w:pPr>
      <w:r>
        <w:rPr>
          <w:rFonts w:ascii="Times New Roman" w:hAnsi="Times New Roman"/>
          <w:b w:val="0"/>
          <w:i w:val="0"/>
          <w:color w:val="000000"/>
          <w:sz w:val="24"/>
        </w:rPr>
        <w:t>Freeze independent training/calibration, eigenspace-selection, validation, and final test partitions to prevent using test performance to choose directions or rank.</w:t>
      </w:r>
    </w:p>
    <w:p>
      <w:pPr>
        <w:pStyle w:val="ListBullet"/>
        <w:spacing w:after="60" w:line="276" w:lineRule="auto"/>
        <w:ind w:left="360" w:hanging="216"/>
      </w:pPr>
      <w:r>
        <w:rPr>
          <w:rFonts w:ascii="Times New Roman" w:hAnsi="Times New Roman"/>
          <w:b w:val="0"/>
          <w:i w:val="0"/>
          <w:color w:val="000000"/>
          <w:sz w:val="24"/>
        </w:rPr>
        <w:t>Collect answer-cue state-12 representations and compute the covariance matrix and its eigendecomposition in float32.</w:t>
      </w:r>
    </w:p>
    <w:p>
      <w:pPr>
        <w:pStyle w:val="ListBullet"/>
        <w:spacing w:after="60" w:line="276" w:lineRule="auto"/>
        <w:ind w:left="360" w:hanging="216"/>
      </w:pPr>
      <w:r>
        <w:rPr>
          <w:rFonts w:ascii="Times New Roman" w:hAnsi="Times New Roman"/>
          <w:b w:val="0"/>
          <w:i w:val="0"/>
          <w:color w:val="000000"/>
          <w:sz w:val="24"/>
        </w:rPr>
        <w:t>Select candidate direction bands using only the selection partition and preregister the final rank and intervention thresholds.</w:t>
      </w:r>
    </w:p>
    <w:p>
      <w:pPr>
        <w:pStyle w:val="ListBullet"/>
        <w:spacing w:after="60" w:line="276" w:lineRule="auto"/>
        <w:ind w:left="360" w:hanging="216"/>
      </w:pPr>
      <w:r>
        <w:rPr>
          <w:rFonts w:ascii="Times New Roman" w:hAnsi="Times New Roman"/>
          <w:b w:val="0"/>
          <w:i w:val="0"/>
          <w:color w:val="000000"/>
          <w:sz w:val="24"/>
        </w:rPr>
        <w:t>Construct rank-28, rank-32, and rank-sweep heads offline and integrate them into every generated-answer step of the released CODI decoder.</w:t>
      </w:r>
    </w:p>
    <w:p>
      <w:pPr>
        <w:pStyle w:val="ListBullet"/>
        <w:spacing w:after="60" w:line="276" w:lineRule="auto"/>
        <w:ind w:left="360" w:hanging="216"/>
      </w:pPr>
      <w:r>
        <w:rPr>
          <w:rFonts w:ascii="Times New Roman" w:hAnsi="Times New Roman"/>
          <w:b w:val="0"/>
          <w:i w:val="0"/>
          <w:color w:val="000000"/>
          <w:sz w:val="24"/>
        </w:rPr>
        <w:t>Evaluate correctness and efficiency on the untouched test sets. Repeat the process across seeds, compatible checkpoints, and additional mathematical reasoning datasets.</w:t>
      </w:r>
    </w:p>
    <w:p>
      <w:pPr>
        <w:pStyle w:val="Heading2"/>
        <w:keepNext/>
        <w:spacing w:before="180" w:after="80" w:line="276" w:lineRule="auto"/>
      </w:pPr>
      <w:r>
        <w:rPr>
          <w:rFonts w:ascii="Times New Roman" w:hAnsi="Times New Roman"/>
          <w:b/>
          <w:i w:val="0"/>
          <w:color w:val="000000"/>
          <w:sz w:val="24"/>
        </w:rPr>
        <w:t>7.2 Comparison methods</w:t>
      </w:r>
    </w:p>
    <w:p>
      <w:pPr>
        <w:pStyle w:val="ListBullet"/>
        <w:spacing w:after="60" w:line="276" w:lineRule="auto"/>
        <w:ind w:left="360" w:hanging="216"/>
      </w:pPr>
      <w:r>
        <w:rPr>
          <w:rFonts w:ascii="Times New Roman" w:hAnsi="Times New Roman"/>
          <w:b w:val="0"/>
          <w:i w:val="0"/>
          <w:color w:val="000000"/>
          <w:sz w:val="24"/>
        </w:rPr>
        <w:t>The original full 768 by 50,257 vocabulary head.</w:t>
      </w:r>
    </w:p>
    <w:p>
      <w:pPr>
        <w:pStyle w:val="ListBullet"/>
        <w:spacing w:after="60" w:line="276" w:lineRule="auto"/>
        <w:ind w:left="360" w:hanging="216"/>
      </w:pPr>
      <w:r>
        <w:rPr>
          <w:rFonts w:ascii="Times New Roman" w:hAnsi="Times New Roman"/>
          <w:b w:val="0"/>
          <w:i w:val="0"/>
          <w:color w:val="000000"/>
          <w:sz w:val="24"/>
        </w:rPr>
        <w:t>Leading-eigenvalue rank-r selection without behavioral intervention.</w:t>
      </w:r>
    </w:p>
    <w:p>
      <w:pPr>
        <w:pStyle w:val="ListBullet"/>
        <w:spacing w:after="60" w:line="276" w:lineRule="auto"/>
        <w:ind w:left="360" w:hanging="216"/>
      </w:pPr>
      <w:r>
        <w:rPr>
          <w:rFonts w:ascii="Times New Roman" w:hAnsi="Times New Roman"/>
          <w:b w:val="0"/>
          <w:i w:val="0"/>
          <w:color w:val="000000"/>
          <w:sz w:val="24"/>
        </w:rPr>
        <w:t>Weight-only truncated decomposition of the vocabulary matrix.</w:t>
      </w:r>
    </w:p>
    <w:p>
      <w:pPr>
        <w:pStyle w:val="ListBullet"/>
        <w:spacing w:after="60" w:line="276" w:lineRule="auto"/>
        <w:ind w:left="360" w:hanging="216"/>
      </w:pPr>
      <w:r>
        <w:rPr>
          <w:rFonts w:ascii="Times New Roman" w:hAnsi="Times New Roman"/>
          <w:b w:val="0"/>
          <w:i w:val="0"/>
          <w:color w:val="000000"/>
          <w:sz w:val="24"/>
        </w:rPr>
        <w:t>Activation-aware and Fisher-weighted low-rank baselines.</w:t>
      </w:r>
    </w:p>
    <w:p>
      <w:pPr>
        <w:pStyle w:val="ListBullet"/>
        <w:spacing w:after="60" w:line="276" w:lineRule="auto"/>
        <w:ind w:left="360" w:hanging="216"/>
      </w:pPr>
      <w:r>
        <w:rPr>
          <w:rFonts w:ascii="Times New Roman" w:hAnsi="Times New Roman"/>
          <w:b w:val="0"/>
          <w:i w:val="0"/>
          <w:color w:val="000000"/>
          <w:sz w:val="24"/>
        </w:rPr>
        <w:t>A learned rank-r head initialized from the offline eigenspace factors.</w:t>
      </w:r>
    </w:p>
    <w:p>
      <w:pPr>
        <w:pStyle w:val="ListBullet"/>
        <w:spacing w:after="60" w:line="276" w:lineRule="auto"/>
        <w:ind w:left="360" w:hanging="216"/>
      </w:pPr>
      <w:r>
        <w:rPr>
          <w:rFonts w:ascii="Times New Roman" w:hAnsi="Times New Roman"/>
          <w:b w:val="0"/>
          <w:i w:val="0"/>
          <w:color w:val="000000"/>
          <w:sz w:val="24"/>
        </w:rPr>
        <w:t>Vocabulary shortlisting or clustering as a different approach to the same output bottleneck.</w:t>
      </w:r>
    </w:p>
    <w:p>
      <w:pPr>
        <w:pStyle w:val="Heading2"/>
        <w:keepNext/>
        <w:spacing w:before="180" w:after="80" w:line="276" w:lineRule="auto"/>
      </w:pPr>
      <w:r>
        <w:rPr>
          <w:rFonts w:ascii="Times New Roman" w:hAnsi="Times New Roman"/>
          <w:b/>
          <w:i w:val="0"/>
          <w:color w:val="000000"/>
          <w:sz w:val="24"/>
        </w:rPr>
        <w:t>7.3 Outcome measures</w:t>
      </w:r>
    </w:p>
    <w:p>
      <w:pPr>
        <w:pStyle w:val="ListBullet"/>
        <w:spacing w:after="60" w:line="276" w:lineRule="auto"/>
        <w:ind w:left="360" w:hanging="216"/>
      </w:pPr>
      <w:r>
        <w:rPr>
          <w:rFonts w:ascii="Times New Roman" w:hAnsi="Times New Roman"/>
          <w:b w:val="0"/>
          <w:i w:val="0"/>
          <w:color w:val="000000"/>
          <w:sz w:val="24"/>
        </w:rPr>
        <w:t>Primary quality outcome: numeric exact-match accuracy with paired confidence intervals.</w:t>
      </w:r>
    </w:p>
    <w:p>
      <w:pPr>
        <w:pStyle w:val="ListBullet"/>
        <w:spacing w:after="60" w:line="276" w:lineRule="auto"/>
        <w:ind w:left="360" w:hanging="216"/>
      </w:pPr>
      <w:r>
        <w:rPr>
          <w:rFonts w:ascii="Times New Roman" w:hAnsi="Times New Roman"/>
          <w:b w:val="0"/>
          <w:i w:val="0"/>
          <w:color w:val="000000"/>
          <w:sz w:val="24"/>
        </w:rPr>
        <w:t>Readout fidelity: top-1 and top-k token agreement, logit error, cross-entropy, and answer-margin preservation.</w:t>
      </w:r>
    </w:p>
    <w:p>
      <w:pPr>
        <w:pStyle w:val="ListBullet"/>
        <w:spacing w:after="60" w:line="276" w:lineRule="auto"/>
        <w:ind w:left="360" w:hanging="216"/>
      </w:pPr>
      <w:r>
        <w:rPr>
          <w:rFonts w:ascii="Times New Roman" w:hAnsi="Times New Roman"/>
          <w:b w:val="0"/>
          <w:i w:val="0"/>
          <w:color w:val="000000"/>
          <w:sz w:val="24"/>
        </w:rPr>
        <w:t>Efficiency: batch-1 and batch-32 latency, tokens per second, peak accelerator memory, head time, and complete generation time.</w:t>
      </w:r>
    </w:p>
    <w:p>
      <w:pPr>
        <w:pStyle w:val="ListBullet"/>
        <w:spacing w:after="60" w:line="276" w:lineRule="auto"/>
        <w:ind w:left="360" w:hanging="216"/>
      </w:pPr>
      <w:r>
        <w:rPr>
          <w:rFonts w:ascii="Times New Roman" w:hAnsi="Times New Roman"/>
          <w:b w:val="0"/>
          <w:i w:val="0"/>
          <w:color w:val="000000"/>
          <w:sz w:val="24"/>
        </w:rPr>
        <w:t>Robustness: eigenspace overlap, retained accuracy, and latency across calibration resamples, tasks, seeds, and checkpoints.</w:t>
      </w:r>
    </w:p>
    <w:p>
      <w:pPr>
        <w:pStyle w:val="Heading2"/>
        <w:keepNext/>
        <w:spacing w:before="180" w:after="80" w:line="276" w:lineRule="auto"/>
      </w:pPr>
      <w:r>
        <w:rPr>
          <w:rFonts w:ascii="Times New Roman" w:hAnsi="Times New Roman"/>
          <w:b/>
          <w:i w:val="0"/>
          <w:color w:val="000000"/>
          <w:sz w:val="24"/>
        </w:rPr>
        <w:t>7.4 Statistical analysis</w:t>
      </w:r>
    </w:p>
    <w:p>
      <w:pPr>
        <w:keepNext w:val="0"/>
        <w:spacing w:before="0" w:after="120" w:line="276" w:lineRule="auto"/>
      </w:pPr>
      <w:r>
        <w:rPr>
          <w:rFonts w:ascii="Times New Roman" w:hAnsi="Times New Roman"/>
          <w:b w:val="0"/>
          <w:i w:val="0"/>
          <w:color w:val="000000"/>
          <w:sz w:val="24"/>
        </w:rPr>
        <w:t>All accuracy comparisons will be paired by question. Exact McNemar tests will measure discordant correctness outcomes, and paired bootstrap intervals will quantify accuracy differences and retention ratios. Multiple planned comparisons will use a declared correction procedure. Direction selection will not be changed after the test set is opened. Hardware timing will include warm-up, synchronization, repeated trials, medians, dispersion, and fixed software and precision settings.</w:t>
      </w:r>
    </w:p>
    <w:p>
      <w:pPr>
        <w:pStyle w:val="Heading1"/>
        <w:keepNext/>
        <w:spacing w:before="240" w:after="120" w:line="276" w:lineRule="auto"/>
      </w:pPr>
      <w:r>
        <w:rPr>
          <w:rFonts w:ascii="Times New Roman" w:hAnsi="Times New Roman"/>
          <w:b/>
          <w:i w:val="0"/>
          <w:color w:val="000000"/>
          <w:sz w:val="28"/>
        </w:rPr>
        <w:t>8. Expected Contributions</w:t>
      </w:r>
    </w:p>
    <w:p>
      <w:pPr>
        <w:pStyle w:val="ListBullet"/>
        <w:spacing w:after="60" w:line="276" w:lineRule="auto"/>
        <w:ind w:left="360" w:hanging="216"/>
      </w:pPr>
      <w:r>
        <w:rPr>
          <w:rFonts w:ascii="Times New Roman" w:hAnsi="Times New Roman"/>
          <w:b w:val="0"/>
          <w:i w:val="0"/>
          <w:color w:val="000000"/>
          <w:sz w:val="24"/>
        </w:rPr>
        <w:t>A mechanistic account of where CODI's final answer information is concentrated at its answer cue.</w:t>
      </w:r>
    </w:p>
    <w:p>
      <w:pPr>
        <w:pStyle w:val="ListBullet"/>
        <w:spacing w:after="60" w:line="276" w:lineRule="auto"/>
        <w:ind w:left="360" w:hanging="216"/>
      </w:pPr>
      <w:r>
        <w:rPr>
          <w:rFonts w:ascii="Times New Roman" w:hAnsi="Times New Roman"/>
          <w:b w:val="0"/>
          <w:i w:val="0"/>
          <w:color w:val="000000"/>
          <w:sz w:val="24"/>
        </w:rPr>
        <w:t>A behavior-selected alternative to compression based only on eigenvalue magnitude or reconstruction error.</w:t>
      </w:r>
    </w:p>
    <w:p>
      <w:pPr>
        <w:pStyle w:val="ListBullet"/>
        <w:spacing w:after="60" w:line="276" w:lineRule="auto"/>
        <w:ind w:left="360" w:hanging="216"/>
      </w:pPr>
      <w:r>
        <w:rPr>
          <w:rFonts w:ascii="Times New Roman" w:hAnsi="Times New Roman"/>
          <w:b w:val="0"/>
          <w:i w:val="0"/>
          <w:color w:val="000000"/>
          <w:sz w:val="24"/>
        </w:rPr>
        <w:t>A deployable low-rank vocabulary head that retains the complete token vocabulary.</w:t>
      </w:r>
    </w:p>
    <w:p>
      <w:pPr>
        <w:pStyle w:val="ListBullet"/>
        <w:spacing w:after="60" w:line="276" w:lineRule="auto"/>
        <w:ind w:left="360" w:hanging="216"/>
      </w:pPr>
      <w:r>
        <w:rPr>
          <w:rFonts w:ascii="Times New Roman" w:hAnsi="Times New Roman"/>
          <w:b w:val="0"/>
          <w:i w:val="0"/>
          <w:color w:val="000000"/>
          <w:sz w:val="24"/>
        </w:rPr>
        <w:t>A careful separation between component-level speedup and real end-to-end inference improvement.</w:t>
      </w:r>
    </w:p>
    <w:p>
      <w:pPr>
        <w:pStyle w:val="ListBullet"/>
        <w:spacing w:after="60" w:line="276" w:lineRule="auto"/>
        <w:ind w:left="360" w:hanging="216"/>
      </w:pPr>
      <w:r>
        <w:rPr>
          <w:rFonts w:ascii="Times New Roman" w:hAnsi="Times New Roman"/>
          <w:b w:val="0"/>
          <w:i w:val="0"/>
          <w:color w:val="000000"/>
          <w:sz w:val="24"/>
        </w:rPr>
        <w:t>A reproducible evaluation protocol for connecting hidden-state interventions to systems optimization.</w:t>
      </w:r>
    </w:p>
    <w:p>
      <w:pPr>
        <w:pStyle w:val="Heading1"/>
        <w:keepNext/>
        <w:spacing w:before="240" w:after="120" w:line="276" w:lineRule="auto"/>
      </w:pPr>
      <w:r>
        <w:rPr>
          <w:rFonts w:ascii="Times New Roman" w:hAnsi="Times New Roman"/>
          <w:b/>
          <w:i w:val="0"/>
          <w:color w:val="000000"/>
          <w:sz w:val="28"/>
        </w:rPr>
        <w:t>9. Risks and Limitations</w:t>
      </w:r>
    </w:p>
    <w:p>
      <w:pPr>
        <w:keepNext w:val="0"/>
        <w:spacing w:before="0" w:after="120" w:line="276" w:lineRule="auto"/>
      </w:pPr>
      <w:r>
        <w:rPr>
          <w:rFonts w:ascii="Times New Roman" w:hAnsi="Times New Roman"/>
          <w:b w:val="0"/>
          <w:i w:val="0"/>
          <w:color w:val="000000"/>
          <w:sz w:val="24"/>
        </w:rPr>
        <w:t>The strongest preliminary evidence is limited to one released CODI GPT-2 checkpoint, GSM8K, one semantic endpoint, and linear interventions. A subspace selected on one task can overfit task vocabulary or answer format. Mean replacement can create hidden states that are not naturally produced by the model. The rank-28 readout loses approximately 5.3 absolute accuracy points relative to baseline, while rank 32 loses approximately 2.4 points. The isolated 11.3-fold head speedup cannot be reported as an end-to-end model speedup. Furthermore, an effective rank-r output map can alter which vocabulary tokens are reachable as top-ranked outputs. These risks require rank sweeps, learned correction, answer-token coverage analysis, broader datasets, and fully integrated timing.</w:t>
      </w:r>
    </w:p>
    <w:p>
      <w:r>
        <w:rPr>
          <w:color w:val="000000"/>
        </w:rPr>
        <w:br w:type="page"/>
      </w:r>
    </w:p>
    <w:p>
      <w:pPr>
        <w:pStyle w:val="Heading1"/>
        <w:keepNext/>
        <w:spacing w:before="240" w:after="120" w:line="276" w:lineRule="auto"/>
      </w:pPr>
      <w:r>
        <w:rPr>
          <w:rFonts w:ascii="Times New Roman" w:hAnsi="Times New Roman"/>
          <w:b/>
          <w:i w:val="0"/>
          <w:color w:val="000000"/>
          <w:sz w:val="28"/>
        </w:rPr>
        <w:t>10. Work Plan</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864"/>
            <w:tcMar>
              <w:top w:w="80" w:type="dxa"/>
              <w:start w:w="100" w:type="dxa"/>
              <w:bottom w:w="80" w:type="dxa"/>
              <w:end w:w="100" w:type="dxa"/>
            </w:tcMar>
            <w:tcBorders>
              <w:top w:val="single" w:sz="4" w:space="0" w:color="000000"/>
              <w:left w:val="single" w:sz="4" w:space="0" w:color="000000"/>
              <w:bottom w:val="single" w:sz="4" w:space="0" w:color="000000"/>
              <w:right w:val="single" w:sz="4" w:space="0" w:color="000000"/>
            </w:tcBorders>
          </w:tcPr>
          <w:p>
            <w:pPr>
              <w:spacing w:after="0"/>
              <w:jc w:val="center"/>
            </w:pPr>
            <w:r>
              <w:rPr>
                <w:rFonts w:ascii="Times New Roman" w:hAnsi="Times New Roman"/>
                <w:b/>
                <w:i w:val="0"/>
                <w:color w:val="000000"/>
                <w:sz w:val="18"/>
              </w:rPr>
              <w:t>Phase</w:t>
            </w:r>
          </w:p>
        </w:tc>
        <w:tc>
          <w:tcPr>
            <w:tcW w:type="dxa" w:w="5256"/>
            <w:tcMar>
              <w:top w:w="80" w:type="dxa"/>
              <w:start w:w="100" w:type="dxa"/>
              <w:bottom w:w="80" w:type="dxa"/>
              <w:end w:w="100" w:type="dxa"/>
            </w:tcMar>
            <w:tcBorders>
              <w:top w:val="single" w:sz="4" w:space="0" w:color="000000"/>
              <w:left w:val="single" w:sz="4" w:space="0" w:color="000000"/>
              <w:bottom w:val="single" w:sz="4" w:space="0" w:color="000000"/>
              <w:right w:val="single" w:sz="4" w:space="0" w:color="000000"/>
            </w:tcBorders>
          </w:tcPr>
          <w:p>
            <w:pPr>
              <w:spacing w:after="0"/>
              <w:jc w:val="center"/>
            </w:pPr>
            <w:r>
              <w:rPr>
                <w:rFonts w:ascii="Times New Roman" w:hAnsi="Times New Roman"/>
                <w:b/>
                <w:i w:val="0"/>
                <w:color w:val="000000"/>
                <w:sz w:val="18"/>
              </w:rPr>
              <w:t>Work</w:t>
            </w:r>
          </w:p>
        </w:tc>
        <w:tc>
          <w:tcPr>
            <w:tcW w:type="dxa" w:w="3240"/>
            <w:tcMar>
              <w:top w:w="80" w:type="dxa"/>
              <w:start w:w="100" w:type="dxa"/>
              <w:bottom w:w="80" w:type="dxa"/>
              <w:end w:w="100" w:type="dxa"/>
            </w:tcMar>
            <w:tcBorders>
              <w:top w:val="single" w:sz="4" w:space="0" w:color="000000"/>
              <w:left w:val="single" w:sz="4" w:space="0" w:color="000000"/>
              <w:bottom w:val="single" w:sz="4" w:space="0" w:color="000000"/>
              <w:right w:val="single" w:sz="4" w:space="0" w:color="000000"/>
            </w:tcBorders>
          </w:tcPr>
          <w:p>
            <w:pPr>
              <w:spacing w:after="0"/>
              <w:jc w:val="center"/>
            </w:pPr>
            <w:r>
              <w:rPr>
                <w:rFonts w:ascii="Times New Roman" w:hAnsi="Times New Roman"/>
                <w:b/>
                <w:i w:val="0"/>
                <w:color w:val="000000"/>
                <w:sz w:val="18"/>
              </w:rPr>
              <w:t>Planned output</w:t>
            </w:r>
          </w:p>
        </w:tc>
      </w:tr>
      <w:tr>
        <w:tc>
          <w:tcPr>
            <w:tcW w:type="dxa" w:w="864"/>
            <w:tcMar>
              <w:top w:w="80" w:type="dxa"/>
              <w:start w:w="100" w:type="dxa"/>
              <w:bottom w:w="80" w:type="dxa"/>
              <w:end w:w="100" w:type="dxa"/>
            </w:tcMar>
            <w:vAlign w:val="center"/>
            <w:tcBorders>
              <w:top w:val="single" w:sz="4" w:space="0" w:color="000000"/>
              <w:left w:val="single" w:sz="4" w:space="0" w:color="000000"/>
              <w:bottom w:val="single" w:sz="4" w:space="0" w:color="000000"/>
              <w:right w:val="single" w:sz="4" w:space="0" w:color="000000"/>
            </w:tcBorders>
          </w:tcPr>
          <w:p>
            <w:pPr>
              <w:spacing w:after="0"/>
              <w:jc w:val="center"/>
            </w:pPr>
            <w:r>
              <w:rPr>
                <w:rFonts w:ascii="Times New Roman" w:hAnsi="Times New Roman"/>
                <w:b w:val="0"/>
                <w:i w:val="0"/>
                <w:color w:val="000000"/>
                <w:sz w:val="18"/>
              </w:rPr>
              <w:t>1</w:t>
            </w:r>
          </w:p>
        </w:tc>
        <w:tc>
          <w:tcPr>
            <w:tcW w:type="dxa" w:w="5256"/>
            <w:tcMar>
              <w:top w:w="80" w:type="dxa"/>
              <w:start w:w="100" w:type="dxa"/>
              <w:bottom w:w="80" w:type="dxa"/>
              <w:end w:w="100" w:type="dxa"/>
            </w:tcMar>
            <w:vAlign w:val="center"/>
            <w:tcBorders>
              <w:top w:val="single" w:sz="4" w:space="0" w:color="000000"/>
              <w:left w:val="single" w:sz="4" w:space="0" w:color="000000"/>
              <w:bottom w:val="single" w:sz="4" w:space="0" w:color="000000"/>
              <w:right w:val="single" w:sz="4" w:space="0" w:color="000000"/>
            </w:tcBorders>
          </w:tcPr>
          <w:p>
            <w:pPr>
              <w:spacing w:after="0"/>
              <w:jc w:val="left"/>
            </w:pPr>
            <w:r>
              <w:rPr>
                <w:rFonts w:ascii="Times New Roman" w:hAnsi="Times New Roman"/>
                <w:b w:val="0"/>
                <w:i w:val="0"/>
                <w:color w:val="000000"/>
                <w:sz w:val="18"/>
              </w:rPr>
              <w:t>Reproduce all preliminary measurements and freeze data splits.</w:t>
            </w:r>
          </w:p>
        </w:tc>
        <w:tc>
          <w:tcPr>
            <w:tcW w:type="dxa" w:w="3240"/>
            <w:tcMar>
              <w:top w:w="80" w:type="dxa"/>
              <w:start w:w="100" w:type="dxa"/>
              <w:bottom w:w="80" w:type="dxa"/>
              <w:end w:w="100" w:type="dxa"/>
            </w:tcMar>
            <w:vAlign w:val="center"/>
            <w:tcBorders>
              <w:top w:val="single" w:sz="4" w:space="0" w:color="000000"/>
              <w:left w:val="single" w:sz="4" w:space="0" w:color="000000"/>
              <w:bottom w:val="single" w:sz="4" w:space="0" w:color="000000"/>
              <w:right w:val="single" w:sz="4" w:space="0" w:color="000000"/>
            </w:tcBorders>
          </w:tcPr>
          <w:p>
            <w:pPr>
              <w:spacing w:after="0"/>
              <w:jc w:val="left"/>
            </w:pPr>
            <w:r>
              <w:rPr>
                <w:rFonts w:ascii="Times New Roman" w:hAnsi="Times New Roman"/>
                <w:b w:val="0"/>
                <w:i w:val="0"/>
                <w:color w:val="000000"/>
                <w:sz w:val="18"/>
              </w:rPr>
              <w:t>Audited baseline and artifact manifest</w:t>
            </w:r>
          </w:p>
        </w:tc>
      </w:tr>
      <w:tr>
        <w:tc>
          <w:tcPr>
            <w:tcW w:type="dxa" w:w="864"/>
            <w:tcMar>
              <w:top w:w="80" w:type="dxa"/>
              <w:start w:w="100" w:type="dxa"/>
              <w:bottom w:w="80" w:type="dxa"/>
              <w:end w:w="100" w:type="dxa"/>
            </w:tcMar>
            <w:vAlign w:val="center"/>
            <w:tcBorders>
              <w:top w:val="single" w:sz="4" w:space="0" w:color="000000"/>
              <w:left w:val="single" w:sz="4" w:space="0" w:color="000000"/>
              <w:bottom w:val="single" w:sz="4" w:space="0" w:color="000000"/>
              <w:right w:val="single" w:sz="4" w:space="0" w:color="000000"/>
            </w:tcBorders>
          </w:tcPr>
          <w:p>
            <w:pPr>
              <w:spacing w:after="0"/>
              <w:jc w:val="center"/>
            </w:pPr>
            <w:r>
              <w:rPr>
                <w:rFonts w:ascii="Times New Roman" w:hAnsi="Times New Roman"/>
                <w:b w:val="0"/>
                <w:i w:val="0"/>
                <w:color w:val="000000"/>
                <w:sz w:val="18"/>
              </w:rPr>
              <w:t>2</w:t>
            </w:r>
          </w:p>
        </w:tc>
        <w:tc>
          <w:tcPr>
            <w:tcW w:type="dxa" w:w="5256"/>
            <w:tcMar>
              <w:top w:w="80" w:type="dxa"/>
              <w:start w:w="100" w:type="dxa"/>
              <w:bottom w:w="80" w:type="dxa"/>
              <w:end w:w="100" w:type="dxa"/>
            </w:tcMar>
            <w:vAlign w:val="center"/>
            <w:tcBorders>
              <w:top w:val="single" w:sz="4" w:space="0" w:color="000000"/>
              <w:left w:val="single" w:sz="4" w:space="0" w:color="000000"/>
              <w:bottom w:val="single" w:sz="4" w:space="0" w:color="000000"/>
              <w:right w:val="single" w:sz="4" w:space="0" w:color="000000"/>
            </w:tcBorders>
          </w:tcPr>
          <w:p>
            <w:pPr>
              <w:spacing w:after="0"/>
              <w:jc w:val="left"/>
            </w:pPr>
            <w:r>
              <w:rPr>
                <w:rFonts w:ascii="Times New Roman" w:hAnsi="Times New Roman"/>
                <w:b w:val="0"/>
                <w:i w:val="0"/>
                <w:color w:val="000000"/>
                <w:sz w:val="18"/>
              </w:rPr>
              <w:t>Implement rank-28 and rank-32 heads in the generation loop.</w:t>
            </w:r>
          </w:p>
        </w:tc>
        <w:tc>
          <w:tcPr>
            <w:tcW w:type="dxa" w:w="3240"/>
            <w:tcMar>
              <w:top w:w="80" w:type="dxa"/>
              <w:start w:w="100" w:type="dxa"/>
              <w:bottom w:w="80" w:type="dxa"/>
              <w:end w:w="100" w:type="dxa"/>
            </w:tcMar>
            <w:vAlign w:val="center"/>
            <w:tcBorders>
              <w:top w:val="single" w:sz="4" w:space="0" w:color="000000"/>
              <w:left w:val="single" w:sz="4" w:space="0" w:color="000000"/>
              <w:bottom w:val="single" w:sz="4" w:space="0" w:color="000000"/>
              <w:right w:val="single" w:sz="4" w:space="0" w:color="000000"/>
            </w:tcBorders>
          </w:tcPr>
          <w:p>
            <w:pPr>
              <w:spacing w:after="0"/>
              <w:jc w:val="left"/>
            </w:pPr>
            <w:r>
              <w:rPr>
                <w:rFonts w:ascii="Times New Roman" w:hAnsi="Times New Roman"/>
                <w:b w:val="0"/>
                <w:i w:val="0"/>
                <w:color w:val="000000"/>
                <w:sz w:val="18"/>
              </w:rPr>
              <w:t>End-to-end inference implementation</w:t>
            </w:r>
          </w:p>
        </w:tc>
      </w:tr>
      <w:tr>
        <w:tc>
          <w:tcPr>
            <w:tcW w:type="dxa" w:w="864"/>
            <w:tcMar>
              <w:top w:w="80" w:type="dxa"/>
              <w:start w:w="100" w:type="dxa"/>
              <w:bottom w:w="80" w:type="dxa"/>
              <w:end w:w="100" w:type="dxa"/>
            </w:tcMar>
            <w:vAlign w:val="center"/>
            <w:tcBorders>
              <w:top w:val="single" w:sz="4" w:space="0" w:color="000000"/>
              <w:left w:val="single" w:sz="4" w:space="0" w:color="000000"/>
              <w:bottom w:val="single" w:sz="4" w:space="0" w:color="000000"/>
              <w:right w:val="single" w:sz="4" w:space="0" w:color="000000"/>
            </w:tcBorders>
          </w:tcPr>
          <w:p>
            <w:pPr>
              <w:spacing w:after="0"/>
              <w:jc w:val="center"/>
            </w:pPr>
            <w:r>
              <w:rPr>
                <w:rFonts w:ascii="Times New Roman" w:hAnsi="Times New Roman"/>
                <w:b w:val="0"/>
                <w:i w:val="0"/>
                <w:color w:val="000000"/>
                <w:sz w:val="18"/>
              </w:rPr>
              <w:t>3</w:t>
            </w:r>
          </w:p>
        </w:tc>
        <w:tc>
          <w:tcPr>
            <w:tcW w:type="dxa" w:w="5256"/>
            <w:tcMar>
              <w:top w:w="80" w:type="dxa"/>
              <w:start w:w="100" w:type="dxa"/>
              <w:bottom w:w="80" w:type="dxa"/>
              <w:end w:w="100" w:type="dxa"/>
            </w:tcMar>
            <w:vAlign w:val="center"/>
            <w:tcBorders>
              <w:top w:val="single" w:sz="4" w:space="0" w:color="000000"/>
              <w:left w:val="single" w:sz="4" w:space="0" w:color="000000"/>
              <w:bottom w:val="single" w:sz="4" w:space="0" w:color="000000"/>
              <w:right w:val="single" w:sz="4" w:space="0" w:color="000000"/>
            </w:tcBorders>
          </w:tcPr>
          <w:p>
            <w:pPr>
              <w:spacing w:after="0"/>
              <w:jc w:val="left"/>
            </w:pPr>
            <w:r>
              <w:rPr>
                <w:rFonts w:ascii="Times New Roman" w:hAnsi="Times New Roman"/>
                <w:b w:val="0"/>
                <w:i w:val="0"/>
                <w:color w:val="000000"/>
                <w:sz w:val="18"/>
              </w:rPr>
              <w:t>Run rank sweeps and comparison methods.</w:t>
            </w:r>
          </w:p>
        </w:tc>
        <w:tc>
          <w:tcPr>
            <w:tcW w:type="dxa" w:w="3240"/>
            <w:tcMar>
              <w:top w:w="80" w:type="dxa"/>
              <w:start w:w="100" w:type="dxa"/>
              <w:bottom w:w="80" w:type="dxa"/>
              <w:end w:w="100" w:type="dxa"/>
            </w:tcMar>
            <w:vAlign w:val="center"/>
            <w:tcBorders>
              <w:top w:val="single" w:sz="4" w:space="0" w:color="000000"/>
              <w:left w:val="single" w:sz="4" w:space="0" w:color="000000"/>
              <w:bottom w:val="single" w:sz="4" w:space="0" w:color="000000"/>
              <w:right w:val="single" w:sz="4" w:space="0" w:color="000000"/>
            </w:tcBorders>
          </w:tcPr>
          <w:p>
            <w:pPr>
              <w:spacing w:after="0"/>
              <w:jc w:val="left"/>
            </w:pPr>
            <w:r>
              <w:rPr>
                <w:rFonts w:ascii="Times New Roman" w:hAnsi="Times New Roman"/>
                <w:b w:val="0"/>
                <w:i w:val="0"/>
                <w:color w:val="000000"/>
                <w:sz w:val="18"/>
              </w:rPr>
              <w:t>Accuracy, agreement, and latency results</w:t>
            </w:r>
          </w:p>
        </w:tc>
      </w:tr>
      <w:tr>
        <w:tc>
          <w:tcPr>
            <w:tcW w:type="dxa" w:w="864"/>
            <w:tcMar>
              <w:top w:w="80" w:type="dxa"/>
              <w:start w:w="100" w:type="dxa"/>
              <w:bottom w:w="80" w:type="dxa"/>
              <w:end w:w="100" w:type="dxa"/>
            </w:tcMar>
            <w:vAlign w:val="center"/>
            <w:tcBorders>
              <w:top w:val="single" w:sz="4" w:space="0" w:color="000000"/>
              <w:left w:val="single" w:sz="4" w:space="0" w:color="000000"/>
              <w:bottom w:val="single" w:sz="4" w:space="0" w:color="000000"/>
              <w:right w:val="single" w:sz="4" w:space="0" w:color="000000"/>
            </w:tcBorders>
          </w:tcPr>
          <w:p>
            <w:pPr>
              <w:spacing w:after="0"/>
              <w:jc w:val="center"/>
            </w:pPr>
            <w:r>
              <w:rPr>
                <w:rFonts w:ascii="Times New Roman" w:hAnsi="Times New Roman"/>
                <w:b w:val="0"/>
                <w:i w:val="0"/>
                <w:color w:val="000000"/>
                <w:sz w:val="18"/>
              </w:rPr>
              <w:t>4</w:t>
            </w:r>
          </w:p>
        </w:tc>
        <w:tc>
          <w:tcPr>
            <w:tcW w:type="dxa" w:w="5256"/>
            <w:tcMar>
              <w:top w:w="80" w:type="dxa"/>
              <w:start w:w="100" w:type="dxa"/>
              <w:bottom w:w="80" w:type="dxa"/>
              <w:end w:w="100" w:type="dxa"/>
            </w:tcMar>
            <w:vAlign w:val="center"/>
            <w:tcBorders>
              <w:top w:val="single" w:sz="4" w:space="0" w:color="000000"/>
              <w:left w:val="single" w:sz="4" w:space="0" w:color="000000"/>
              <w:bottom w:val="single" w:sz="4" w:space="0" w:color="000000"/>
              <w:right w:val="single" w:sz="4" w:space="0" w:color="000000"/>
            </w:tcBorders>
          </w:tcPr>
          <w:p>
            <w:pPr>
              <w:spacing w:after="0"/>
              <w:jc w:val="left"/>
            </w:pPr>
            <w:r>
              <w:rPr>
                <w:rFonts w:ascii="Times New Roman" w:hAnsi="Times New Roman"/>
                <w:b w:val="0"/>
                <w:i w:val="0"/>
                <w:color w:val="000000"/>
                <w:sz w:val="18"/>
              </w:rPr>
              <w:t>Evaluate transfer across tasks, seeds, and checkpoints.</w:t>
            </w:r>
          </w:p>
        </w:tc>
        <w:tc>
          <w:tcPr>
            <w:tcW w:type="dxa" w:w="3240"/>
            <w:tcMar>
              <w:top w:w="80" w:type="dxa"/>
              <w:start w:w="100" w:type="dxa"/>
              <w:bottom w:w="80" w:type="dxa"/>
              <w:end w:w="100" w:type="dxa"/>
            </w:tcMar>
            <w:vAlign w:val="center"/>
            <w:tcBorders>
              <w:top w:val="single" w:sz="4" w:space="0" w:color="000000"/>
              <w:left w:val="single" w:sz="4" w:space="0" w:color="000000"/>
              <w:bottom w:val="single" w:sz="4" w:space="0" w:color="000000"/>
              <w:right w:val="single" w:sz="4" w:space="0" w:color="000000"/>
            </w:tcBorders>
          </w:tcPr>
          <w:p>
            <w:pPr>
              <w:spacing w:after="0"/>
              <w:jc w:val="left"/>
            </w:pPr>
            <w:r>
              <w:rPr>
                <w:rFonts w:ascii="Times New Roman" w:hAnsi="Times New Roman"/>
                <w:b w:val="0"/>
                <w:i w:val="0"/>
                <w:color w:val="000000"/>
                <w:sz w:val="18"/>
              </w:rPr>
              <w:t>Generalization and failure analysis</w:t>
            </w:r>
          </w:p>
        </w:tc>
      </w:tr>
      <w:tr>
        <w:tc>
          <w:tcPr>
            <w:tcW w:type="dxa" w:w="864"/>
            <w:tcMar>
              <w:top w:w="80" w:type="dxa"/>
              <w:start w:w="100" w:type="dxa"/>
              <w:bottom w:w="80" w:type="dxa"/>
              <w:end w:w="100" w:type="dxa"/>
            </w:tcMar>
            <w:vAlign w:val="center"/>
            <w:tcBorders>
              <w:top w:val="single" w:sz="4" w:space="0" w:color="000000"/>
              <w:left w:val="single" w:sz="4" w:space="0" w:color="000000"/>
              <w:bottom w:val="single" w:sz="4" w:space="0" w:color="000000"/>
              <w:right w:val="single" w:sz="4" w:space="0" w:color="000000"/>
            </w:tcBorders>
          </w:tcPr>
          <w:p>
            <w:pPr>
              <w:spacing w:after="0"/>
              <w:jc w:val="center"/>
            </w:pPr>
            <w:r>
              <w:rPr>
                <w:rFonts w:ascii="Times New Roman" w:hAnsi="Times New Roman"/>
                <w:b w:val="0"/>
                <w:i w:val="0"/>
                <w:color w:val="000000"/>
                <w:sz w:val="18"/>
              </w:rPr>
              <w:t>5</w:t>
            </w:r>
          </w:p>
        </w:tc>
        <w:tc>
          <w:tcPr>
            <w:tcW w:type="dxa" w:w="5256"/>
            <w:tcMar>
              <w:top w:w="80" w:type="dxa"/>
              <w:start w:w="100" w:type="dxa"/>
              <w:bottom w:w="80" w:type="dxa"/>
              <w:end w:w="100" w:type="dxa"/>
            </w:tcMar>
            <w:vAlign w:val="center"/>
            <w:tcBorders>
              <w:top w:val="single" w:sz="4" w:space="0" w:color="000000"/>
              <w:left w:val="single" w:sz="4" w:space="0" w:color="000000"/>
              <w:bottom w:val="single" w:sz="4" w:space="0" w:color="000000"/>
              <w:right w:val="single" w:sz="4" w:space="0" w:color="000000"/>
            </w:tcBorders>
          </w:tcPr>
          <w:p>
            <w:pPr>
              <w:spacing w:after="0"/>
              <w:jc w:val="left"/>
            </w:pPr>
            <w:r>
              <w:rPr>
                <w:rFonts w:ascii="Times New Roman" w:hAnsi="Times New Roman"/>
                <w:b w:val="0"/>
                <w:i w:val="0"/>
                <w:color w:val="000000"/>
                <w:sz w:val="18"/>
              </w:rPr>
              <w:t>Write the final study and release reproducible artifacts.</w:t>
            </w:r>
          </w:p>
        </w:tc>
        <w:tc>
          <w:tcPr>
            <w:tcW w:type="dxa" w:w="3240"/>
            <w:tcMar>
              <w:top w:w="80" w:type="dxa"/>
              <w:start w:w="100" w:type="dxa"/>
              <w:bottom w:w="80" w:type="dxa"/>
              <w:end w:w="100" w:type="dxa"/>
            </w:tcMar>
            <w:vAlign w:val="center"/>
            <w:tcBorders>
              <w:top w:val="single" w:sz="4" w:space="0" w:color="000000"/>
              <w:left w:val="single" w:sz="4" w:space="0" w:color="000000"/>
              <w:bottom w:val="single" w:sz="4" w:space="0" w:color="000000"/>
              <w:right w:val="single" w:sz="4" w:space="0" w:color="000000"/>
            </w:tcBorders>
          </w:tcPr>
          <w:p>
            <w:pPr>
              <w:spacing w:after="0"/>
              <w:jc w:val="left"/>
            </w:pPr>
            <w:r>
              <w:rPr>
                <w:rFonts w:ascii="Times New Roman" w:hAnsi="Times New Roman"/>
                <w:b w:val="0"/>
                <w:i w:val="0"/>
                <w:color w:val="000000"/>
                <w:sz w:val="18"/>
              </w:rPr>
              <w:t>Dissertation paper and code package</w:t>
            </w:r>
          </w:p>
        </w:tc>
      </w:tr>
    </w:tbl>
    <w:p>
      <w:pPr>
        <w:pStyle w:val="Heading1"/>
        <w:keepNext/>
        <w:spacing w:before="240" w:after="120" w:line="276" w:lineRule="auto"/>
      </w:pPr>
      <w:r>
        <w:rPr>
          <w:rFonts w:ascii="Times New Roman" w:hAnsi="Times New Roman"/>
          <w:b/>
          <w:i w:val="0"/>
          <w:color w:val="000000"/>
          <w:sz w:val="28"/>
        </w:rPr>
        <w:t>11. Conclusion</w:t>
      </w:r>
    </w:p>
    <w:p>
      <w:pPr>
        <w:keepNext w:val="0"/>
        <w:spacing w:before="0" w:after="120" w:line="276" w:lineRule="auto"/>
      </w:pPr>
      <w:r>
        <w:rPr>
          <w:rFonts w:ascii="Times New Roman" w:hAnsi="Times New Roman"/>
          <w:b w:val="0"/>
          <w:i w:val="0"/>
          <w:color w:val="000000"/>
          <w:sz w:val="24"/>
        </w:rPr>
        <w:t>The preliminary study found that CODI's final 768-dimensional answer representation is not equally important in all directions. A specific set of 28 covariance eigendirections carries a small share of total variance but most of the model's answer accuracy. This finding suggests a direct systems application: project both the incoming hidden state and the learned vocabulary detectors into the behaviorally selected eigenspace, thereby replacing a large vocabulary multiplication with two smaller operations. Early component measurements are promising, but the academic contribution depends on rigorous end-to-end evaluation and comparison with established compression methods. The proposed research will determine whether this mechanistic finding can become a reliable inference optimization rather than remaining an isolated observation.</w:t>
      </w:r>
    </w:p>
    <w:p>
      <w:r>
        <w:rPr>
          <w:color w:val="000000"/>
        </w:rPr>
        <w:br w:type="page"/>
      </w:r>
    </w:p>
    <w:p>
      <w:pPr>
        <w:pStyle w:val="Heading1"/>
        <w:keepNext/>
        <w:spacing w:before="240" w:after="120" w:line="276" w:lineRule="auto"/>
      </w:pPr>
      <w:r>
        <w:rPr>
          <w:rFonts w:ascii="Times New Roman" w:hAnsi="Times New Roman"/>
          <w:b/>
          <w:i w:val="0"/>
          <w:color w:val="000000"/>
          <w:sz w:val="28"/>
        </w:rPr>
        <w:t>References</w:t>
      </w:r>
    </w:p>
    <w:p>
      <w:pPr>
        <w:spacing w:after="100" w:line="240" w:lineRule="auto"/>
        <w:ind w:left="432" w:hanging="432"/>
      </w:pPr>
      <w:r>
        <w:rPr>
          <w:rFonts w:ascii="Times New Roman" w:hAnsi="Times New Roman"/>
          <w:b w:val="0"/>
          <w:i w:val="0"/>
          <w:color w:val="000000"/>
          <w:sz w:val="20"/>
        </w:rPr>
        <w:t xml:space="preserve">[1] Z. Shen, H. Yan, L. Zhang, Z. Hu, Y. Du, and Y. He, 'CODI: Compressing Chain-of-Thought into Continuous Space via Self-Distillation,' arXiv:2502.21074, 2025. </w:t>
      </w:r>
      <w:r>
        <w:rPr>
          <w:rFonts w:ascii="Times New Roman" w:hAnsi="Times New Roman"/>
          <w:b w:val="0"/>
          <w:i w:val="0"/>
          <w:color w:val="000000"/>
          <w:sz w:val="20"/>
        </w:rPr>
        <w:t>https://arxiv.org/abs/2502.21074</w:t>
      </w:r>
    </w:p>
    <w:p>
      <w:pPr>
        <w:spacing w:after="100" w:line="240" w:lineRule="auto"/>
        <w:ind w:left="432" w:hanging="432"/>
      </w:pPr>
      <w:r>
        <w:rPr>
          <w:rFonts w:ascii="Times New Roman" w:hAnsi="Times New Roman"/>
          <w:b w:val="0"/>
          <w:i w:val="0"/>
          <w:color w:val="000000"/>
          <w:sz w:val="20"/>
        </w:rPr>
        <w:t xml:space="preserve">[2] A. Radford et al., 'Language Models are Unsupervised Multitask Learners,' OpenAI technical report, 2019. </w:t>
      </w:r>
      <w:r>
        <w:rPr>
          <w:rFonts w:ascii="Times New Roman" w:hAnsi="Times New Roman"/>
          <w:b w:val="0"/>
          <w:i w:val="0"/>
          <w:color w:val="000000"/>
          <w:sz w:val="20"/>
        </w:rPr>
        <w:t>https://cdn.openai.com/better-language-models/language_models_are_unsupervised_multitask_learners.pdf</w:t>
      </w:r>
    </w:p>
    <w:p>
      <w:pPr>
        <w:spacing w:after="100" w:line="240" w:lineRule="auto"/>
        <w:ind w:left="432" w:hanging="432"/>
      </w:pPr>
      <w:r>
        <w:rPr>
          <w:rFonts w:ascii="Times New Roman" w:hAnsi="Times New Roman"/>
          <w:b w:val="0"/>
          <w:i w:val="0"/>
          <w:color w:val="000000"/>
          <w:sz w:val="20"/>
        </w:rPr>
        <w:t xml:space="preserve">[3] K. Cobbe et al., 'Training Verifiers to Solve Math Word Problems,' arXiv:2110.14168, 2021. </w:t>
      </w:r>
      <w:r>
        <w:rPr>
          <w:rFonts w:ascii="Times New Roman" w:hAnsi="Times New Roman"/>
          <w:b w:val="0"/>
          <w:i w:val="0"/>
          <w:color w:val="000000"/>
          <w:sz w:val="20"/>
        </w:rPr>
        <w:t>https://arxiv.org/abs/2110.14168</w:t>
      </w:r>
    </w:p>
    <w:p>
      <w:pPr>
        <w:spacing w:after="100" w:line="240" w:lineRule="auto"/>
        <w:ind w:left="432" w:hanging="432"/>
      </w:pPr>
      <w:r>
        <w:rPr>
          <w:rFonts w:ascii="Times New Roman" w:hAnsi="Times New Roman"/>
          <w:b w:val="0"/>
          <w:i w:val="0"/>
          <w:color w:val="000000"/>
          <w:sz w:val="20"/>
        </w:rPr>
        <w:t xml:space="preserve">[4] Y.-C. Hsu, T. Hua, S. Chang, Q. Lou, Y. Shen, and H. Jin, 'Language Model Compression with Weighted Low-Rank Factorization,' ICLR, 2022. </w:t>
      </w:r>
      <w:r>
        <w:rPr>
          <w:rFonts w:ascii="Times New Roman" w:hAnsi="Times New Roman"/>
          <w:b w:val="0"/>
          <w:i w:val="0"/>
          <w:color w:val="000000"/>
          <w:sz w:val="20"/>
        </w:rPr>
        <w:t>https://arxiv.org/abs/2207.00112</w:t>
      </w:r>
    </w:p>
    <w:p>
      <w:pPr>
        <w:spacing w:after="100" w:line="240" w:lineRule="auto"/>
        <w:ind w:left="432" w:hanging="432"/>
      </w:pPr>
      <w:r>
        <w:rPr>
          <w:rFonts w:ascii="Times New Roman" w:hAnsi="Times New Roman"/>
          <w:b w:val="0"/>
          <w:i w:val="0"/>
          <w:color w:val="000000"/>
          <w:sz w:val="20"/>
        </w:rPr>
        <w:t xml:space="preserve">[5] S. Ashkboos, M. L. Croci, M. Gennari do Nascimento, T. Hoefler, and J. Hensman, 'SliceGPT: Compress Large Language Models by Deleting Rows and Columns,' ICLR, 2024. </w:t>
      </w:r>
      <w:r>
        <w:rPr>
          <w:rFonts w:ascii="Times New Roman" w:hAnsi="Times New Roman"/>
          <w:b w:val="0"/>
          <w:i w:val="0"/>
          <w:color w:val="000000"/>
          <w:sz w:val="20"/>
        </w:rPr>
        <w:t>https://proceedings.iclr.cc/paper_files/paper/2024/hash/316648eb8b4ffb6010f531b07848c300-Abstract-Conference.html</w:t>
      </w:r>
    </w:p>
    <w:p>
      <w:pPr>
        <w:spacing w:after="100" w:line="240" w:lineRule="auto"/>
        <w:ind w:left="432" w:hanging="432"/>
      </w:pPr>
      <w:r>
        <w:rPr>
          <w:rFonts w:ascii="Times New Roman" w:hAnsi="Times New Roman"/>
          <w:b w:val="0"/>
          <w:i w:val="0"/>
          <w:color w:val="000000"/>
          <w:sz w:val="20"/>
        </w:rPr>
        <w:t xml:space="preserve">[6] Z. Yuan, Y. Shang, Y. Song, D. Yang, Q. Wu, Y. Yan, and G. Sun, 'ASVD: Activation-aware Singular Value Decomposition for Compressing Large Language Models,' arXiv:2312.05821, 2023, revised 2025. </w:t>
      </w:r>
      <w:r>
        <w:rPr>
          <w:rFonts w:ascii="Times New Roman" w:hAnsi="Times New Roman"/>
          <w:b w:val="0"/>
          <w:i w:val="0"/>
          <w:color w:val="000000"/>
          <w:sz w:val="20"/>
        </w:rPr>
        <w:t>https://arxiv.org/abs/2312.05821</w:t>
      </w:r>
    </w:p>
    <w:p>
      <w:pPr>
        <w:spacing w:after="100" w:line="240" w:lineRule="auto"/>
        <w:ind w:left="432" w:hanging="432"/>
      </w:pPr>
      <w:r>
        <w:rPr>
          <w:rFonts w:ascii="Times New Roman" w:hAnsi="Times New Roman"/>
          <w:b w:val="0"/>
          <w:i w:val="0"/>
          <w:color w:val="000000"/>
          <w:sz w:val="20"/>
        </w:rPr>
        <w:t xml:space="preserve">[7] J. Tian, R. Solgi, J. Lu, Y. Yang, H. Li, and Z. Zhang, 'FLAT-LLM: Fine-grained Low-rank Activation Space Transformation for Large Language Model Compression,' arXiv:2505.23966, 2025, revised 2026. </w:t>
      </w:r>
      <w:r>
        <w:rPr>
          <w:rFonts w:ascii="Times New Roman" w:hAnsi="Times New Roman"/>
          <w:b w:val="0"/>
          <w:i w:val="0"/>
          <w:color w:val="000000"/>
          <w:sz w:val="20"/>
        </w:rPr>
        <w:t>https://arxiv.org/abs/2505.23966</w:t>
      </w:r>
    </w:p>
    <w:p>
      <w:pPr>
        <w:spacing w:after="100" w:line="240" w:lineRule="auto"/>
        <w:ind w:left="432" w:hanging="432"/>
      </w:pPr>
      <w:r>
        <w:rPr>
          <w:rFonts w:ascii="Times New Roman" w:hAnsi="Times New Roman"/>
          <w:b w:val="0"/>
          <w:i w:val="0"/>
          <w:color w:val="000000"/>
          <w:sz w:val="20"/>
        </w:rPr>
        <w:t xml:space="preserve">[8] E. Grave, A. Joulin, M. Cisse, D. Grangier, and H. Jegou, 'Efficient Softmax Approximation for GPUs,' Proceedings of ICML, pp. 1302-1310, 2017. </w:t>
      </w:r>
      <w:r>
        <w:rPr>
          <w:rFonts w:ascii="Times New Roman" w:hAnsi="Times New Roman"/>
          <w:b w:val="0"/>
          <w:i w:val="0"/>
          <w:color w:val="000000"/>
          <w:sz w:val="20"/>
        </w:rPr>
        <w:t>https://proceedings.mlr.press/v70/grave17a.html</w:t>
      </w:r>
    </w:p>
    <w:p>
      <w:pPr>
        <w:spacing w:after="100" w:line="240" w:lineRule="auto"/>
        <w:ind w:left="432" w:hanging="432"/>
      </w:pPr>
      <w:r>
        <w:rPr>
          <w:rFonts w:ascii="Times New Roman" w:hAnsi="Times New Roman"/>
          <w:b w:val="0"/>
          <w:i w:val="0"/>
          <w:color w:val="000000"/>
          <w:sz w:val="20"/>
        </w:rPr>
        <w:t xml:space="preserve">[9] H. Amer, M. Afify, Y. J. Kim, H. Matsushita, and H. Hassan, 'Fast Vocabulary Projection Method via Clustering for Multilingual Machine Translation on GPU,' Proceedings of AMTA, pp. 58-69, 2022. </w:t>
      </w:r>
      <w:r>
        <w:rPr>
          <w:rFonts w:ascii="Times New Roman" w:hAnsi="Times New Roman"/>
          <w:b w:val="0"/>
          <w:i w:val="0"/>
          <w:color w:val="000000"/>
          <w:sz w:val="20"/>
        </w:rPr>
        <w:t>https://aclanthology.org/2022.amta-research.5/</w:t>
      </w:r>
    </w:p>
    <w:p>
      <w:pPr>
        <w:spacing w:after="100" w:line="240" w:lineRule="auto"/>
        <w:ind w:left="432" w:hanging="432"/>
      </w:pPr>
      <w:r>
        <w:rPr>
          <w:rFonts w:ascii="Times New Roman" w:hAnsi="Times New Roman"/>
          <w:b w:val="0"/>
          <w:i w:val="0"/>
          <w:color w:val="000000"/>
          <w:sz w:val="20"/>
        </w:rPr>
        <w:t xml:space="preserve">[10] A. Plaksin, S. Krutikov, S. Skvortsov, and A. Samarin, 'SlimSpec: Low-Rank Draft LM-Head for Accelerated Speculative Decoding,' arXiv:2605.10453, 2026. </w:t>
      </w:r>
      <w:r>
        <w:rPr>
          <w:rFonts w:ascii="Times New Roman" w:hAnsi="Times New Roman"/>
          <w:b w:val="0"/>
          <w:i w:val="0"/>
          <w:color w:val="000000"/>
          <w:sz w:val="20"/>
        </w:rPr>
        <w:t>https://arxiv.org/abs/2605.10453</w:t>
      </w:r>
    </w:p>
    <w:p>
      <w:pPr>
        <w:spacing w:after="100" w:line="240" w:lineRule="auto"/>
        <w:ind w:left="432" w:hanging="432"/>
      </w:pPr>
      <w:r>
        <w:rPr>
          <w:rFonts w:ascii="Times New Roman" w:hAnsi="Times New Roman"/>
          <w:b w:val="0"/>
          <w:i w:val="0"/>
          <w:color w:val="000000"/>
          <w:sz w:val="20"/>
        </w:rPr>
        <w:t xml:space="preserve">[11] S. T. Kocabay, T. R. Akkus, and K. A. Yuksel, 'ARCHead: Activation-Metric Residual Correction for Large Language Model Output Heads,' arXiv:2608.02703, 2026. </w:t>
      </w:r>
      <w:r>
        <w:rPr>
          <w:rFonts w:ascii="Times New Roman" w:hAnsi="Times New Roman"/>
          <w:b w:val="0"/>
          <w:i w:val="0"/>
          <w:color w:val="000000"/>
          <w:sz w:val="20"/>
        </w:rPr>
        <w:t>https://arxiv.org/abs/2608.02703</w:t>
      </w:r>
    </w:p>
    <w:p>
      <w:pPr>
        <w:spacing w:after="100" w:line="240" w:lineRule="auto"/>
        <w:ind w:left="432" w:hanging="432"/>
      </w:pPr>
      <w:r>
        <w:rPr>
          <w:rFonts w:ascii="Times New Roman" w:hAnsi="Times New Roman"/>
          <w:b w:val="0"/>
          <w:i w:val="0"/>
          <w:color w:val="000000"/>
          <w:sz w:val="20"/>
        </w:rPr>
        <w:t xml:space="preserve">[12] M. J. Raza, 'Official CODI Endpoint Eigenspace Confirmation and Efficiency Measurements,' unpublished project experiment records, 2026. </w:t>
      </w:r>
      <w:r>
        <w:rPr>
          <w:rFonts w:ascii="Times New Roman" w:hAnsi="Times New Roman"/>
          <w:b w:val="0"/>
          <w:i w:val="0"/>
          <w:color w:val="000000"/>
          <w:sz w:val="20"/>
        </w:rPr>
        <w:t>Repository experiment ledger and reproducibility artifacts.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000000"/>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