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2C1A5" w14:textId="77777777" w:rsidR="00B4508E" w:rsidRDefault="00B4508E">
      <w:pPr>
        <w:pStyle w:val="berschrift1"/>
        <w:rPr>
          <w:rFonts w:eastAsia="Times New Roman"/>
        </w:rPr>
      </w:pPr>
      <w:r>
        <w:rPr>
          <w:rFonts w:eastAsia="Times New Roman"/>
        </w:rPr>
        <w:t>Controller API Authentication aus Pipelines</w:t>
      </w:r>
    </w:p>
    <w:p w14:paraId="685B8B04" w14:textId="77777777" w:rsidR="00B4508E" w:rsidRDefault="00B4508E">
      <w:pPr>
        <w:pStyle w:val="StandardWeb"/>
      </w:pPr>
      <w:r>
        <w:t>Aus Tekton Pipelines sollen via Controller API weitere Pipelines gestartet werden können (</w:t>
      </w:r>
      <w:hyperlink r:id="rId5" w:history="1">
        <w:r>
          <w:rPr>
            <w:rStyle w:val="Hyperlink"/>
          </w:rPr>
          <w:t>ESTA-4989</w:t>
        </w:r>
      </w:hyperlink>
      <w:r>
        <w:t>). Um API Requests an den Controller senden zu können, müssen diese eine Authentifizierung enthalten, die vom Controller akzeptiert wird. In diesem Konzept wird beschrieben, wie ein solcher Authentifizierungs-Mechanismus aussehen könnte.</w:t>
      </w:r>
    </w:p>
    <w:p w14:paraId="1AF0FB83" w14:textId="77777777" w:rsidR="00B4508E" w:rsidRDefault="00B4508E">
      <w:pPr>
        <w:pStyle w:val="berschrift1"/>
        <w:rPr>
          <w:rFonts w:eastAsia="Times New Roman"/>
        </w:rPr>
      </w:pPr>
      <w:r>
        <w:rPr>
          <w:rFonts w:eastAsia="Times New Roman"/>
        </w:rPr>
        <w:t>Grundidee</w:t>
      </w:r>
    </w:p>
    <w:p w14:paraId="29ED8903" w14:textId="77777777" w:rsidR="00B4508E" w:rsidRDefault="00B4508E">
      <w:pPr>
        <w:pStyle w:val="StandardWeb"/>
      </w:pPr>
      <w:r>
        <w:rPr>
          <w:rStyle w:val="Fett"/>
          <w:i/>
          <w:iCs/>
        </w:rPr>
        <w:t>Für jede Pipeline wird ein JWT generiert und via Env Variable den Tasks zur Verfügung gestellt. Dieser Token ist nur solang gültig, wie der PipelineRun noch läuft.</w:t>
      </w:r>
    </w:p>
    <w:p w14:paraId="18AE0951" w14:textId="77777777" w:rsidR="00B4508E" w:rsidRDefault="00B4508E">
      <w:pPr>
        <w:pStyle w:val="StandardWeb"/>
      </w:pPr>
      <w:r>
        <w:rPr>
          <w:rStyle w:val="Fett"/>
        </w:rPr>
        <w:t>Hintergrund:</w:t>
      </w:r>
    </w:p>
    <w:p w14:paraId="67A81801" w14:textId="77777777" w:rsidR="00B4508E" w:rsidRDefault="00B4508E">
      <w:pPr>
        <w:pStyle w:val="StandardWeb"/>
      </w:pPr>
      <w:r>
        <w:t>Die Tokens sollen möglichst kurzlebig und auch nur im Kontext eines spezifischen PipelineRuns nutzbar sein. Zwar könnten langlebige Tokens statisch in OpenShift Secrets hinterlegt werden, diese sind allerdings schwieriger zu rotieren. In den dynamischen Tokens können zudem Claims wie Username/Actor, welcher die aktuelle Pipeline gestartet hat, gespeichert werden und sie können damit gleich wie die OICD JWT (von Microsoft Login) behandelt werden.</w:t>
      </w:r>
    </w:p>
    <w:p w14:paraId="36ADC551" w14:textId="77777777" w:rsidR="00B4508E" w:rsidRDefault="00B4508E">
      <w:pPr>
        <w:pStyle w:val="berschrift1"/>
        <w:rPr>
          <w:rFonts w:eastAsia="Times New Roman"/>
        </w:rPr>
      </w:pPr>
      <w:r>
        <w:rPr>
          <w:rFonts w:eastAsia="Times New Roman"/>
        </w:rPr>
        <w:t>Token Generierung</w:t>
      </w:r>
    </w:p>
    <w:p w14:paraId="43777DEE" w14:textId="77777777" w:rsidR="00B4508E" w:rsidRDefault="00B4508E">
      <w:pPr>
        <w:pStyle w:val="StandardWeb"/>
      </w:pPr>
      <w:r>
        <w:t xml:space="preserve">Bei jedem Start eines PipelineRuns wird ein </w:t>
      </w:r>
      <w:hyperlink r:id="rId6" w:history="1">
        <w:r>
          <w:rPr>
            <w:rStyle w:val="Hyperlink"/>
          </w:rPr>
          <w:t>JWT</w:t>
        </w:r>
      </w:hyperlink>
      <w:r>
        <w:t xml:space="preserve"> generiert, welcher an diese Pipeline gebunden ist. Die Claims sehen wie folgt aus:</w:t>
      </w:r>
    </w:p>
    <w:p w14:paraId="5A26F491" w14:textId="77777777" w:rsidR="00B4508E" w:rsidRDefault="00B4508E">
      <w:pPr>
        <w:pStyle w:val="HTMLVorformatiert"/>
        <w:divId w:val="746152892"/>
      </w:pPr>
      <w:r>
        <w:t>{</w:t>
      </w:r>
    </w:p>
    <w:p w14:paraId="2381481A" w14:textId="77777777" w:rsidR="00B4508E" w:rsidRDefault="00B4508E">
      <w:pPr>
        <w:pStyle w:val="HTMLVorformatiert"/>
        <w:divId w:val="746152892"/>
      </w:pPr>
      <w:r>
        <w:t xml:space="preserve">  "iss": "esta-tekton-pipeline-controller@&lt;tekton-namespace&gt;",</w:t>
      </w:r>
    </w:p>
    <w:p w14:paraId="31B7D6BA" w14:textId="77777777" w:rsidR="00B4508E" w:rsidRDefault="00B4508E">
      <w:pPr>
        <w:pStyle w:val="HTMLVorformatiert"/>
        <w:divId w:val="746152892"/>
      </w:pPr>
      <w:r>
        <w:t xml:space="preserve">  "sub": "&lt;pipelinerun-id&gt;",</w:t>
      </w:r>
    </w:p>
    <w:p w14:paraId="74B569C5" w14:textId="77777777" w:rsidR="00B4508E" w:rsidRDefault="00B4508E">
      <w:pPr>
        <w:pStyle w:val="HTMLVorformatiert"/>
        <w:divId w:val="746152892"/>
      </w:pPr>
      <w:r>
        <w:t xml:space="preserve">  "exp": 1707920236,</w:t>
      </w:r>
    </w:p>
    <w:p w14:paraId="6EA7A05A" w14:textId="77777777" w:rsidR="00B4508E" w:rsidRDefault="00B4508E">
      <w:pPr>
        <w:pStyle w:val="HTMLVorformatiert"/>
        <w:divId w:val="746152892"/>
      </w:pPr>
      <w:r>
        <w:t xml:space="preserve">  "name": "John Doe",</w:t>
      </w:r>
    </w:p>
    <w:p w14:paraId="2FBF8B37" w14:textId="77777777" w:rsidR="00B4508E" w:rsidRDefault="00B4508E">
      <w:pPr>
        <w:pStyle w:val="HTMLVorformatiert"/>
        <w:divId w:val="746152892"/>
      </w:pPr>
      <w:r>
        <w:t xml:space="preserve">  "preferred_username": "john.doe@sbb.ch",</w:t>
      </w:r>
    </w:p>
    <w:p w14:paraId="624C93D2" w14:textId="77777777" w:rsidR="00B4508E" w:rsidRDefault="00B4508E">
      <w:pPr>
        <w:pStyle w:val="HTMLVorformatiert"/>
        <w:divId w:val="746152892"/>
      </w:pPr>
      <w:r>
        <w:t xml:space="preserve">  "roles": [</w:t>
      </w:r>
    </w:p>
    <w:p w14:paraId="2ECFCD23" w14:textId="77777777" w:rsidR="00B4508E" w:rsidRDefault="00B4508E">
      <w:pPr>
        <w:pStyle w:val="HTMLVorformatiert"/>
        <w:divId w:val="746152892"/>
      </w:pPr>
      <w:r>
        <w:t xml:space="preserve">    "TektonPipeline"</w:t>
      </w:r>
    </w:p>
    <w:p w14:paraId="74FD7621" w14:textId="77777777" w:rsidR="00B4508E" w:rsidRDefault="00B4508E">
      <w:pPr>
        <w:pStyle w:val="HTMLVorformatiert"/>
        <w:divId w:val="746152892"/>
      </w:pPr>
      <w:r>
        <w:t xml:space="preserve">  ],</w:t>
      </w:r>
    </w:p>
    <w:p w14:paraId="3AA9B597" w14:textId="77777777" w:rsidR="00B4508E" w:rsidRDefault="00B4508E">
      <w:pPr>
        <w:pStyle w:val="HTMLVorformatiert"/>
        <w:divId w:val="746152892"/>
      </w:pPr>
      <w:r>
        <w:t xml:space="preserve">  "sbbuid": "u222555"</w:t>
      </w:r>
    </w:p>
    <w:p w14:paraId="1BA84763" w14:textId="77777777" w:rsidR="00B4508E" w:rsidRDefault="00B4508E">
      <w:pPr>
        <w:pStyle w:val="HTMLVorformatiert"/>
        <w:divId w:val="746152892"/>
      </w:pPr>
      <w:r>
        <w:t>}</w:t>
      </w:r>
    </w:p>
    <w:p w14:paraId="21C7592A" w14:textId="77777777" w:rsidR="00B4508E" w:rsidRDefault="00B4508E">
      <w:pPr>
        <w:numPr>
          <w:ilvl w:val="0"/>
          <w:numId w:val="1"/>
        </w:numPr>
        <w:spacing w:before="100" w:beforeAutospacing="1" w:after="100" w:afterAutospacing="1"/>
        <w:rPr>
          <w:rFonts w:eastAsia="Times New Roman"/>
        </w:rPr>
      </w:pPr>
      <w:r>
        <w:rPr>
          <w:rFonts w:eastAsia="Times New Roman"/>
        </w:rPr>
        <w:t>Als Issuer (iss) wird der ESTA Tekton Controller und der Namespace-Name verwendet. Damit lassen sich die selbst ausgestellten Tokens von denen von Microsoft unterscheiden.</w:t>
      </w:r>
    </w:p>
    <w:p w14:paraId="77B45C92" w14:textId="77777777" w:rsidR="00B4508E" w:rsidRDefault="00B4508E">
      <w:pPr>
        <w:numPr>
          <w:ilvl w:val="0"/>
          <w:numId w:val="1"/>
        </w:numPr>
        <w:spacing w:before="100" w:beforeAutospacing="1" w:after="100" w:afterAutospacing="1"/>
        <w:rPr>
          <w:rFonts w:eastAsia="Times New Roman"/>
        </w:rPr>
      </w:pPr>
      <w:r>
        <w:rPr>
          <w:rFonts w:eastAsia="Times New Roman"/>
        </w:rPr>
        <w:t>Als Subject (sub) wird die ID (Name) des PipelineRuns eingetragen. Darüber kann später geprüft werden, ob der Token noch gültig ist</w:t>
      </w:r>
    </w:p>
    <w:p w14:paraId="5D5055B5" w14:textId="77777777" w:rsidR="00B4508E" w:rsidRDefault="00B4508E">
      <w:pPr>
        <w:numPr>
          <w:ilvl w:val="0"/>
          <w:numId w:val="1"/>
        </w:numPr>
        <w:spacing w:before="100" w:beforeAutospacing="1" w:after="100" w:afterAutospacing="1"/>
        <w:rPr>
          <w:rFonts w:eastAsia="Times New Roman"/>
        </w:rPr>
      </w:pPr>
      <w:r>
        <w:rPr>
          <w:rFonts w:eastAsia="Times New Roman"/>
        </w:rPr>
        <w:t xml:space="preserve">Weitere Claims wie </w:t>
      </w:r>
      <w:r>
        <w:rPr>
          <w:rStyle w:val="HTMLCode"/>
        </w:rPr>
        <w:t>name</w:t>
      </w:r>
      <w:r>
        <w:rPr>
          <w:rFonts w:eastAsia="Times New Roman"/>
        </w:rPr>
        <w:t xml:space="preserve">, </w:t>
      </w:r>
      <w:r>
        <w:rPr>
          <w:rStyle w:val="HTMLCode"/>
        </w:rPr>
        <w:t>preferred_username</w:t>
      </w:r>
      <w:r>
        <w:rPr>
          <w:rFonts w:eastAsia="Times New Roman"/>
        </w:rPr>
        <w:t xml:space="preserve"> und </w:t>
      </w:r>
      <w:r>
        <w:rPr>
          <w:rStyle w:val="HTMLCode"/>
        </w:rPr>
        <w:t>sbbuid</w:t>
      </w:r>
      <w:r>
        <w:rPr>
          <w:rFonts w:eastAsia="Times New Roman"/>
        </w:rPr>
        <w:t xml:space="preserve"> werden vom aktuellen Kontext (API Request) in den Pipeline Token übertragen.</w:t>
      </w:r>
    </w:p>
    <w:p w14:paraId="6DF4E694" w14:textId="77777777" w:rsidR="00B4508E" w:rsidRDefault="00B4508E">
      <w:pPr>
        <w:numPr>
          <w:ilvl w:val="0"/>
          <w:numId w:val="1"/>
        </w:numPr>
        <w:spacing w:before="100" w:beforeAutospacing="1" w:after="100" w:afterAutospacing="1"/>
        <w:rPr>
          <w:rFonts w:eastAsia="Times New Roman"/>
        </w:rPr>
      </w:pPr>
      <w:r>
        <w:rPr>
          <w:rFonts w:eastAsia="Times New Roman"/>
        </w:rPr>
        <w:lastRenderedPageBreak/>
        <w:t>Der JWT wird mit einem Key signiert, welcher für jede Tekton Instanz individuell generiert wird.</w:t>
      </w:r>
    </w:p>
    <w:p w14:paraId="673EB632" w14:textId="77777777" w:rsidR="00B4508E" w:rsidRDefault="00B4508E">
      <w:pPr>
        <w:pStyle w:val="berschrift1"/>
        <w:rPr>
          <w:rFonts w:eastAsia="Times New Roman"/>
        </w:rPr>
      </w:pPr>
      <w:r>
        <w:rPr>
          <w:rFonts w:eastAsia="Times New Roman"/>
        </w:rPr>
        <w:t>Token Validierung</w:t>
      </w:r>
    </w:p>
    <w:p w14:paraId="6BE094DF" w14:textId="77777777" w:rsidR="00B4508E" w:rsidRDefault="00B4508E">
      <w:pPr>
        <w:pStyle w:val="StandardWeb"/>
      </w:pPr>
      <w:r>
        <w:t>Im Controller werden die JWT Tokens im Request Handling validiert. Dies wird aktuell bereits von OIDC in Quarkus gemacht, welcher mit dem Microsoft Login konfiguriert ist. Neu muss zuerst eine Fallunterscheidung aufgrund des Token Issuers gemacht werden. Ist es ein selbst ausgestellter Token, macht der Controller die Validierung selbst. Diese Validierung ist in folgende Schritte gegliedert:</w:t>
      </w:r>
    </w:p>
    <w:p w14:paraId="21BC20C1" w14:textId="77777777" w:rsidR="00B4508E" w:rsidRDefault="00B4508E">
      <w:pPr>
        <w:numPr>
          <w:ilvl w:val="0"/>
          <w:numId w:val="2"/>
        </w:numPr>
        <w:spacing w:before="100" w:beforeAutospacing="1" w:after="100" w:afterAutospacing="1"/>
        <w:rPr>
          <w:rFonts w:eastAsia="Times New Roman"/>
        </w:rPr>
      </w:pPr>
      <w:r>
        <w:rPr>
          <w:rFonts w:eastAsia="Times New Roman"/>
        </w:rPr>
        <w:t>Prüfung der Signatur</w:t>
      </w:r>
    </w:p>
    <w:p w14:paraId="49415BC3" w14:textId="77777777" w:rsidR="00B4508E" w:rsidRDefault="00B4508E">
      <w:pPr>
        <w:numPr>
          <w:ilvl w:val="0"/>
          <w:numId w:val="2"/>
        </w:numPr>
        <w:spacing w:before="100" w:beforeAutospacing="1" w:after="100" w:afterAutospacing="1"/>
        <w:rPr>
          <w:rFonts w:eastAsia="Times New Roman"/>
        </w:rPr>
      </w:pPr>
      <w:r>
        <w:rPr>
          <w:rFonts w:eastAsia="Times New Roman"/>
        </w:rPr>
        <w:t>Prüfung des Ablaufdatums</w:t>
      </w:r>
    </w:p>
    <w:p w14:paraId="6B6A24E6" w14:textId="77777777" w:rsidR="00B4508E" w:rsidRDefault="00B4508E">
      <w:pPr>
        <w:numPr>
          <w:ilvl w:val="0"/>
          <w:numId w:val="2"/>
        </w:numPr>
        <w:spacing w:before="100" w:beforeAutospacing="1" w:after="100" w:afterAutospacing="1"/>
        <w:rPr>
          <w:rFonts w:eastAsia="Times New Roman"/>
        </w:rPr>
      </w:pPr>
      <w:r>
        <w:rPr>
          <w:rFonts w:eastAsia="Times New Roman"/>
        </w:rPr>
        <w:t xml:space="preserve">Prüfung der PipelineRun Referenz (Subject) → der PipelineRun muss existieren und den Status </w:t>
      </w:r>
      <w:r>
        <w:rPr>
          <w:rStyle w:val="Hervorhebung"/>
          <w:rFonts w:eastAsia="Times New Roman"/>
        </w:rPr>
        <w:t>Running</w:t>
      </w:r>
      <w:r>
        <w:rPr>
          <w:rFonts w:eastAsia="Times New Roman"/>
        </w:rPr>
        <w:t xml:space="preserve"> haben.</w:t>
      </w:r>
    </w:p>
    <w:p w14:paraId="62167C52" w14:textId="77777777" w:rsidR="00B4508E" w:rsidRDefault="00B4508E">
      <w:pPr>
        <w:pStyle w:val="berschrift1"/>
        <w:rPr>
          <w:rFonts w:eastAsia="Times New Roman"/>
        </w:rPr>
      </w:pPr>
      <w:r>
        <w:rPr>
          <w:rFonts w:eastAsia="Times New Roman"/>
        </w:rPr>
        <w:t>Übergabe an Pipeline Tasks</w:t>
      </w:r>
    </w:p>
    <w:p w14:paraId="13AC3DDE" w14:textId="76C3E8DF" w:rsidR="00B4508E" w:rsidRDefault="00B4508E">
      <w:pPr>
        <w:pStyle w:val="StandardWeb"/>
      </w:pPr>
      <w:r>
        <w:t xml:space="preserve">Die JWT Tokens sollen in den Pipeline Tasks als Env Variable (oder besser noch als File) konsumierbar sein. Von einer direkten Definition via podTemplate ist abzusehen, da so die effektiven Tokens sowohl im PipelineRun (Yaml) als auch im Pod (Yaml) sichtbar wären und von Tekton Results, Splunk, etc. auch gespeichert würden. Die Tokens sollen in einem OpenShift Secret angelegt und lediglich der Secret-Name als Pipeline Parameter übergeben werden. Siehe auch </w:t>
      </w:r>
      <w:hyperlink r:id="rId7" w:anchor="RecommendedpracticeforOpenShiftSecretsandPasswords-HowtouseKubernetesSecretinpractice" w:history="1">
        <w:r>
          <w:rPr>
            <w:rStyle w:val="Hyperlink"/>
          </w:rPr>
          <w:t>How to use Kubernetes Secret in practice</w:t>
        </w:r>
      </w:hyperlink>
      <w:r>
        <w:t>.</w:t>
      </w:r>
    </w:p>
    <w:p w14:paraId="51CE2C96" w14:textId="77777777" w:rsidR="00B4508E" w:rsidRDefault="00B4508E">
      <w:pPr>
        <w:pStyle w:val="StandardWeb"/>
      </w:pPr>
      <w:r>
        <w:t xml:space="preserve">Hierbei wird also für jeden PipelineRun auch ein Secret in OpenShift angelegt, welches nach Beendigung der Pipeline wieder gelöscht werden sollte. Evtl. lässt sich die Löschung über eine </w:t>
      </w:r>
      <w:hyperlink r:id="rId8" w:history="1">
        <w:r>
          <w:rPr>
            <w:rStyle w:val="Hyperlink"/>
          </w:rPr>
          <w:t>Owner Reference</w:t>
        </w:r>
      </w:hyperlink>
      <w:r>
        <w:t xml:space="preserve"> an Kubernetes delegieren.</w:t>
      </w:r>
    </w:p>
    <w:p w14:paraId="6D916682" w14:textId="77777777" w:rsidR="00B4508E" w:rsidRDefault="00B4508E">
      <w:pPr>
        <w:pStyle w:val="berschrift1"/>
        <w:rPr>
          <w:rFonts w:eastAsia="Times New Roman"/>
        </w:rPr>
      </w:pPr>
      <w:r>
        <w:rPr>
          <w:rFonts w:eastAsia="Times New Roman"/>
        </w:rPr>
        <w:t>Umsetzung in Quarkus</w:t>
      </w:r>
    </w:p>
    <w:p w14:paraId="7E167844" w14:textId="77777777" w:rsidR="00B4508E" w:rsidRDefault="00B4508E">
      <w:pPr>
        <w:pStyle w:val="StandardWeb"/>
      </w:pPr>
      <w:r>
        <w:t xml:space="preserve">Allgemeine Infos zum Authentifizierungsprozess in Quarkus finden sich hier: </w:t>
      </w:r>
      <w:hyperlink r:id="rId9" w:history="1">
        <w:r>
          <w:rPr>
            <w:rStyle w:val="Hyperlink"/>
          </w:rPr>
          <w:t>https://quarkus.io/guides/security-architecture</w:t>
        </w:r>
      </w:hyperlink>
    </w:p>
    <w:p w14:paraId="3F10D066" w14:textId="77777777" w:rsidR="00B4508E" w:rsidRDefault="00B4508E">
      <w:pPr>
        <w:pStyle w:val="StandardWeb"/>
      </w:pPr>
      <w:r>
        <w:t>Die Token Generierung kann mit </w:t>
      </w:r>
      <w:r>
        <w:rPr>
          <w:rStyle w:val="HTMLCode"/>
        </w:rPr>
        <w:t>quarkus-smallrye-jwt-build</w:t>
      </w:r>
      <w:r>
        <w:t xml:space="preserve"> implementiert werden. Siehe </w:t>
      </w:r>
      <w:hyperlink r:id="rId10" w:history="1">
        <w:r>
          <w:rPr>
            <w:rStyle w:val="Hyperlink"/>
          </w:rPr>
          <w:t>https://quarkus.io/guides/security-jwt-build</w:t>
        </w:r>
      </w:hyperlink>
    </w:p>
    <w:p w14:paraId="0317B119" w14:textId="77777777" w:rsidR="00B4508E" w:rsidRDefault="00B4508E">
      <w:pPr>
        <w:pStyle w:val="StandardWeb"/>
      </w:pPr>
      <w:r>
        <w:t>Für die Signierung muss ein JSON Web Key (JWK) File angelegt werden. Dies kann als OpenShift Secret gespeichert und als Volume in den Controller Pod gemounted werden.</w:t>
      </w:r>
    </w:p>
    <w:p w14:paraId="3EF1CFF8" w14:textId="77777777" w:rsidR="00B4508E" w:rsidRDefault="00B4508E">
      <w:pPr>
        <w:divId w:val="279993660"/>
        <w:rPr>
          <w:rFonts w:eastAsia="Times New Roman"/>
        </w:rPr>
      </w:pPr>
      <w:r>
        <w:rPr>
          <w:rFonts w:eastAsia="Times New Roman"/>
          <w:b/>
          <w:bCs/>
        </w:rPr>
        <w:t>JWK File</w:t>
      </w:r>
      <w:r>
        <w:rPr>
          <w:rFonts w:eastAsia="Times New Roman"/>
        </w:rPr>
        <w:t xml:space="preserve"> </w:t>
      </w:r>
    </w:p>
    <w:p w14:paraId="5DC4264D" w14:textId="77777777" w:rsidR="00B4508E" w:rsidRDefault="00B4508E">
      <w:pPr>
        <w:pStyle w:val="HTMLVorformatiert"/>
        <w:divId w:val="2105415061"/>
      </w:pPr>
      <w:r>
        <w:t>{</w:t>
      </w:r>
    </w:p>
    <w:p w14:paraId="48FE3436" w14:textId="77777777" w:rsidR="00B4508E" w:rsidRDefault="00B4508E">
      <w:pPr>
        <w:pStyle w:val="HTMLVorformatiert"/>
        <w:divId w:val="2105415061"/>
      </w:pPr>
      <w:r>
        <w:t xml:space="preserve">  "kty":"oct",</w:t>
      </w:r>
    </w:p>
    <w:p w14:paraId="5B25C618" w14:textId="77777777" w:rsidR="00B4508E" w:rsidRDefault="00B4508E">
      <w:pPr>
        <w:pStyle w:val="HTMLVorformatiert"/>
        <w:divId w:val="2105415061"/>
      </w:pPr>
      <w:r>
        <w:t xml:space="preserve">  "kid":"secretKey",</w:t>
      </w:r>
    </w:p>
    <w:p w14:paraId="532D75B0" w14:textId="77777777" w:rsidR="00B4508E" w:rsidRDefault="00B4508E">
      <w:pPr>
        <w:pStyle w:val="HTMLVorformatiert"/>
        <w:divId w:val="2105415061"/>
      </w:pPr>
      <w:r>
        <w:lastRenderedPageBreak/>
        <w:t xml:space="preserve">  "k":"&lt;random-secret-key&gt;"</w:t>
      </w:r>
    </w:p>
    <w:p w14:paraId="1208BB27" w14:textId="77777777" w:rsidR="00B4508E" w:rsidRDefault="00B4508E">
      <w:pPr>
        <w:pStyle w:val="HTMLVorformatiert"/>
        <w:divId w:val="2105415061"/>
      </w:pPr>
      <w:r>
        <w:t>}</w:t>
      </w:r>
    </w:p>
    <w:p w14:paraId="74009551" w14:textId="77777777" w:rsidR="00B4508E" w:rsidRDefault="00B4508E">
      <w:pPr>
        <w:pStyle w:val="StandardWeb"/>
      </w:pPr>
      <w:r>
        <w:t>In der Quarkus Config wird der Pfad zu diesem Key File für sign und verify angegeben:</w:t>
      </w:r>
    </w:p>
    <w:p w14:paraId="556D2F93" w14:textId="77777777" w:rsidR="00B4508E" w:rsidRDefault="00B4508E">
      <w:pPr>
        <w:divId w:val="114711787"/>
        <w:rPr>
          <w:rFonts w:eastAsia="Times New Roman"/>
        </w:rPr>
      </w:pPr>
      <w:r>
        <w:rPr>
          <w:rFonts w:eastAsia="Times New Roman"/>
          <w:b/>
          <w:bCs/>
        </w:rPr>
        <w:t>application.yaml</w:t>
      </w:r>
      <w:r>
        <w:rPr>
          <w:rFonts w:eastAsia="Times New Roman"/>
        </w:rPr>
        <w:t xml:space="preserve"> </w:t>
      </w:r>
    </w:p>
    <w:p w14:paraId="58C6EAA6" w14:textId="77777777" w:rsidR="00B4508E" w:rsidRDefault="00B4508E">
      <w:pPr>
        <w:pStyle w:val="HTMLVorformatiert"/>
        <w:divId w:val="979260817"/>
      </w:pPr>
      <w:r>
        <w:t>smallrye:</w:t>
      </w:r>
    </w:p>
    <w:p w14:paraId="6224D0BF" w14:textId="77777777" w:rsidR="00B4508E" w:rsidRDefault="00B4508E">
      <w:pPr>
        <w:pStyle w:val="HTMLVorformatiert"/>
        <w:divId w:val="979260817"/>
      </w:pPr>
      <w:r>
        <w:t xml:space="preserve">  jwt:</w:t>
      </w:r>
    </w:p>
    <w:p w14:paraId="3969258D" w14:textId="77777777" w:rsidR="00B4508E" w:rsidRDefault="00B4508E">
      <w:pPr>
        <w:pStyle w:val="HTMLVorformatiert"/>
        <w:divId w:val="979260817"/>
      </w:pPr>
      <w:r>
        <w:t xml:space="preserve">    sign:</w:t>
      </w:r>
    </w:p>
    <w:p w14:paraId="11D256DC" w14:textId="77777777" w:rsidR="00B4508E" w:rsidRDefault="00B4508E">
      <w:pPr>
        <w:pStyle w:val="HTMLVorformatiert"/>
        <w:divId w:val="979260817"/>
      </w:pPr>
      <w:r>
        <w:t xml:space="preserve">      key:</w:t>
      </w:r>
    </w:p>
    <w:p w14:paraId="4D5AF815" w14:textId="77777777" w:rsidR="00B4508E" w:rsidRDefault="00B4508E">
      <w:pPr>
        <w:pStyle w:val="HTMLVorformatiert"/>
        <w:divId w:val="979260817"/>
      </w:pPr>
      <w:r>
        <w:t xml:space="preserve">        id: secretKey</w:t>
      </w:r>
    </w:p>
    <w:p w14:paraId="35EC2661" w14:textId="77777777" w:rsidR="00B4508E" w:rsidRDefault="00B4508E">
      <w:pPr>
        <w:pStyle w:val="HTMLVorformatiert"/>
        <w:divId w:val="979260817"/>
      </w:pPr>
      <w:r>
        <w:t xml:space="preserve">        location: ${JWT_SIGN_KEY_FILE:/config/jwt-sign-key.json}</w:t>
      </w:r>
    </w:p>
    <w:p w14:paraId="3F892E88" w14:textId="77777777" w:rsidR="00B4508E" w:rsidRDefault="00B4508E">
      <w:pPr>
        <w:pStyle w:val="HTMLVorformatiert"/>
        <w:divId w:val="979260817"/>
      </w:pPr>
      <w:r>
        <w:t xml:space="preserve">    verify:</w:t>
      </w:r>
    </w:p>
    <w:p w14:paraId="0CCAE257" w14:textId="77777777" w:rsidR="00B4508E" w:rsidRDefault="00B4508E">
      <w:pPr>
        <w:pStyle w:val="HTMLVorformatiert"/>
        <w:divId w:val="979260817"/>
      </w:pPr>
      <w:r>
        <w:t xml:space="preserve">      algorithm: HS256</w:t>
      </w:r>
    </w:p>
    <w:p w14:paraId="5E59C94B" w14:textId="77777777" w:rsidR="00B4508E" w:rsidRDefault="00B4508E">
      <w:pPr>
        <w:pStyle w:val="HTMLVorformatiert"/>
        <w:divId w:val="979260817"/>
      </w:pPr>
      <w:r>
        <w:t xml:space="preserve">      key:</w:t>
      </w:r>
    </w:p>
    <w:p w14:paraId="358C2A19" w14:textId="77777777" w:rsidR="00B4508E" w:rsidRDefault="00B4508E">
      <w:pPr>
        <w:pStyle w:val="HTMLVorformatiert"/>
        <w:divId w:val="979260817"/>
      </w:pPr>
      <w:r>
        <w:t xml:space="preserve">        location: ${JWT_SIGN_KEY_FILE:/config/jwt-sign-key.json}</w:t>
      </w:r>
    </w:p>
    <w:p w14:paraId="5D37D17B" w14:textId="77777777" w:rsidR="00B4508E" w:rsidRDefault="00B4508E">
      <w:pPr>
        <w:pStyle w:val="StandardWeb"/>
      </w:pPr>
    </w:p>
    <w:p w14:paraId="416C31B4" w14:textId="77777777" w:rsidR="00B4508E" w:rsidRDefault="00B4508E">
      <w:pPr>
        <w:pStyle w:val="StandardWeb"/>
      </w:pPr>
      <w:r>
        <w:t>Die Unterscheidung für die interne JWT Validierung (oidc oder self-issued) kann über eine </w:t>
      </w:r>
      <w:r>
        <w:rPr>
          <w:rStyle w:val="hljs-title"/>
          <w:rFonts w:ascii="Courier New" w:hAnsi="Courier New" w:cs="Courier New"/>
          <w:sz w:val="20"/>
          <w:szCs w:val="20"/>
        </w:rPr>
        <w:t xml:space="preserve">HttpAuthenticationMechanism </w:t>
      </w:r>
      <w:r>
        <w:t xml:space="preserve">Klasse gemacht werden. Siehe </w:t>
      </w:r>
      <w:hyperlink r:id="rId11" w:anchor="dealing-with-more-than-one-http-auth-mechanisms" w:history="1">
        <w:r>
          <w:rPr>
            <w:rStyle w:val="Hyperlink"/>
          </w:rPr>
          <w:t>Dealing with more than one HttpAuthenticationMechanism</w:t>
        </w:r>
      </w:hyperlink>
      <w:r>
        <w:t>.</w:t>
      </w:r>
    </w:p>
    <w:p w14:paraId="6EBB8DF2" w14:textId="77777777" w:rsidR="00B4508E" w:rsidRDefault="00B4508E">
      <w:pPr>
        <w:pStyle w:val="StandardWeb"/>
      </w:pPr>
      <w:r>
        <w:t>Durch die Verwendung von </w:t>
      </w:r>
      <w:r>
        <w:rPr>
          <w:rStyle w:val="HTMLCode"/>
        </w:rPr>
        <w:t xml:space="preserve">JWTAuthMechanism </w:t>
      </w:r>
      <w:r>
        <w:t>aus dem </w:t>
      </w:r>
      <w:r>
        <w:rPr>
          <w:rStyle w:val="HTMLCode"/>
        </w:rPr>
        <w:t xml:space="preserve">quarkus-security </w:t>
      </w:r>
      <w:r>
        <w:t>Modul wird die syntaktische Validierung des JWT (Signatur, Exp) bereits gemacht, so dass im Code nur noch die PipelineRun Referenz geprüft werden muss.</w:t>
      </w:r>
    </w:p>
    <w:p w14:paraId="2C4168AA" w14:textId="77777777" w:rsidR="00B4508E" w:rsidRDefault="00B4508E">
      <w:pPr>
        <w:pStyle w:val="StandardWeb"/>
      </w:pPr>
      <w:r>
        <w:t xml:space="preserve">Ein (unvollständiger) POC ist in Commit </w:t>
      </w:r>
      <w:hyperlink r:id="rId12" w:history="1">
        <w:r>
          <w:rPr>
            <w:rStyle w:val="Hyperlink"/>
          </w:rPr>
          <w:t>59242d8978</w:t>
        </w:r>
      </w:hyperlink>
      <w:r>
        <w:t xml:space="preserve"> zu sehen und kann als Basis für die Umsetzung verwendet werden.</w:t>
      </w:r>
    </w:p>
    <w:p w14:paraId="6458FD06" w14:textId="77777777" w:rsidR="00B4508E" w:rsidRDefault="00B4508E">
      <w:pPr>
        <w:pStyle w:val="StandardWeb"/>
      </w:pPr>
    </w:p>
    <w:p w14:paraId="44EFC305" w14:textId="77777777" w:rsidR="00B4508E" w:rsidRDefault="00B4508E">
      <w:pPr>
        <w:pStyle w:val="StandardWeb"/>
      </w:pP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85E00"/>
    <w:multiLevelType w:val="multilevel"/>
    <w:tmpl w:val="CBF8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DD4A18"/>
    <w:multiLevelType w:val="multilevel"/>
    <w:tmpl w:val="873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424463">
    <w:abstractNumId w:val="1"/>
  </w:num>
  <w:num w:numId="2" w16cid:durableId="778570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4508E"/>
    <w:rsid w:val="00B450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77270E"/>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styleId="Hervorhebung">
    <w:name w:val="Emphasis"/>
    <w:basedOn w:val="Absatz-Standardschriftart"/>
    <w:uiPriority w:val="20"/>
    <w:qFormat/>
    <w:rPr>
      <w:i/>
      <w:iCs/>
    </w:rPr>
  </w:style>
  <w:style w:type="character" w:styleId="Fett">
    <w:name w:val="Strong"/>
    <w:basedOn w:val="Absatz-Standardschriftart"/>
    <w:uiPriority w:val="22"/>
    <w:qFormat/>
    <w:rPr>
      <w:b/>
      <w:bC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hljs-class">
    <w:name w:val="hljs-class"/>
    <w:basedOn w:val="Absatz-Standardschriftart"/>
  </w:style>
  <w:style w:type="character" w:customStyle="1" w:styleId="hljs-title">
    <w:name w:val="hljs-title"/>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111753">
      <w:marLeft w:val="0"/>
      <w:marRight w:val="0"/>
      <w:marTop w:val="0"/>
      <w:marBottom w:val="0"/>
      <w:divBdr>
        <w:top w:val="none" w:sz="0" w:space="0" w:color="auto"/>
        <w:left w:val="none" w:sz="0" w:space="0" w:color="auto"/>
        <w:bottom w:val="none" w:sz="0" w:space="0" w:color="auto"/>
        <w:right w:val="none" w:sz="0" w:space="0" w:color="auto"/>
      </w:divBdr>
      <w:divsChild>
        <w:div w:id="114711787">
          <w:marLeft w:val="0"/>
          <w:marRight w:val="0"/>
          <w:marTop w:val="0"/>
          <w:marBottom w:val="0"/>
          <w:divBdr>
            <w:top w:val="none" w:sz="0" w:space="0" w:color="auto"/>
            <w:left w:val="none" w:sz="0" w:space="0" w:color="auto"/>
            <w:bottom w:val="none" w:sz="0" w:space="0" w:color="auto"/>
            <w:right w:val="none" w:sz="0" w:space="0" w:color="auto"/>
          </w:divBdr>
        </w:div>
        <w:div w:id="979260817">
          <w:marLeft w:val="0"/>
          <w:marRight w:val="0"/>
          <w:marTop w:val="0"/>
          <w:marBottom w:val="0"/>
          <w:divBdr>
            <w:top w:val="none" w:sz="0" w:space="0" w:color="auto"/>
            <w:left w:val="none" w:sz="0" w:space="0" w:color="auto"/>
            <w:bottom w:val="none" w:sz="0" w:space="0" w:color="auto"/>
            <w:right w:val="none" w:sz="0" w:space="0" w:color="auto"/>
          </w:divBdr>
        </w:div>
      </w:divsChild>
    </w:div>
    <w:div w:id="1496187780">
      <w:marLeft w:val="0"/>
      <w:marRight w:val="0"/>
      <w:marTop w:val="0"/>
      <w:marBottom w:val="0"/>
      <w:divBdr>
        <w:top w:val="none" w:sz="0" w:space="0" w:color="auto"/>
        <w:left w:val="none" w:sz="0" w:space="0" w:color="auto"/>
        <w:bottom w:val="none" w:sz="0" w:space="0" w:color="auto"/>
        <w:right w:val="none" w:sz="0" w:space="0" w:color="auto"/>
      </w:divBdr>
      <w:divsChild>
        <w:div w:id="746152892">
          <w:marLeft w:val="0"/>
          <w:marRight w:val="0"/>
          <w:marTop w:val="0"/>
          <w:marBottom w:val="0"/>
          <w:divBdr>
            <w:top w:val="none" w:sz="0" w:space="0" w:color="auto"/>
            <w:left w:val="none" w:sz="0" w:space="0" w:color="auto"/>
            <w:bottom w:val="none" w:sz="0" w:space="0" w:color="auto"/>
            <w:right w:val="none" w:sz="0" w:space="0" w:color="auto"/>
          </w:divBdr>
        </w:div>
      </w:divsChild>
    </w:div>
    <w:div w:id="1917132018">
      <w:marLeft w:val="0"/>
      <w:marRight w:val="0"/>
      <w:marTop w:val="0"/>
      <w:marBottom w:val="0"/>
      <w:divBdr>
        <w:top w:val="none" w:sz="0" w:space="0" w:color="auto"/>
        <w:left w:val="none" w:sz="0" w:space="0" w:color="auto"/>
        <w:bottom w:val="none" w:sz="0" w:space="0" w:color="auto"/>
        <w:right w:val="none" w:sz="0" w:space="0" w:color="auto"/>
      </w:divBdr>
      <w:divsChild>
        <w:div w:id="279993660">
          <w:marLeft w:val="0"/>
          <w:marRight w:val="0"/>
          <w:marTop w:val="0"/>
          <w:marBottom w:val="0"/>
          <w:divBdr>
            <w:top w:val="none" w:sz="0" w:space="0" w:color="auto"/>
            <w:left w:val="none" w:sz="0" w:space="0" w:color="auto"/>
            <w:bottom w:val="none" w:sz="0" w:space="0" w:color="auto"/>
            <w:right w:val="none" w:sz="0" w:space="0" w:color="auto"/>
          </w:divBdr>
        </w:div>
        <w:div w:id="210541506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overview/working-with-objects/owners-depend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display\CLEW\Recommended+practice+for+OpenShift+Secrets+and+Passwords" TargetMode="External"/><Relationship Id="rId12" Type="http://schemas.openxmlformats.org/officeDocument/2006/relationships/hyperlink" Target="https://code.sbb.ch/projects/KD_ESTA/repos/esta-tekton-pipeline-controller/commits/59242d8978738460f1809e90018d850f2f6a9a7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wt.io/introduction" TargetMode="External"/><Relationship Id="rId11" Type="http://schemas.openxmlformats.org/officeDocument/2006/relationships/hyperlink" Target="https://quarkus.io/guides/security-customization" TargetMode="External"/><Relationship Id="rId5" Type="http://schemas.openxmlformats.org/officeDocument/2006/relationships/hyperlink" Target="https://flow.sbb.ch/browse/ESTA-4989" TargetMode="External"/><Relationship Id="rId10" Type="http://schemas.openxmlformats.org/officeDocument/2006/relationships/hyperlink" Target="https://quarkus.io/guides/security-jwt-build" TargetMode="External"/><Relationship Id="rId4" Type="http://schemas.openxmlformats.org/officeDocument/2006/relationships/webSettings" Target="webSettings.xml"/><Relationship Id="rId9" Type="http://schemas.openxmlformats.org/officeDocument/2006/relationships/hyperlink" Target="https://quarkus.io/guides/security-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742</Words>
  <Characters>4677</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API Authentication aus Pipelines</dc:title>
  <dc:subject/>
  <dc:creator>Florian.Thievent</dc:creator>
  <cp:keywords/>
  <dc:description/>
  <cp:lastModifiedBy>Florian.Thievent</cp:lastModifiedBy>
  <cp:revision>2</cp:revision>
  <dcterms:created xsi:type="dcterms:W3CDTF">2024-04-25T13:31:00Z</dcterms:created>
  <dcterms:modified xsi:type="dcterms:W3CDTF">2024-04-25T13:31:00Z</dcterms:modified>
</cp:coreProperties>
</file>