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AC75" w14:textId="77777777" w:rsidR="00A0583F" w:rsidRDefault="00A0583F">
      <w:pPr>
        <w:pStyle w:val="berschrift1"/>
        <w:rPr>
          <w:rFonts w:eastAsia="Times New Roman"/>
        </w:rPr>
      </w:pPr>
      <w:r>
        <w:rPr>
          <w:rFonts w:eastAsia="Times New Roman"/>
        </w:rPr>
        <w:t>Core Concepts</w:t>
      </w:r>
    </w:p>
    <w:p w14:paraId="286AD953" w14:textId="77777777" w:rsidR="00A0583F" w:rsidRDefault="00A0583F">
      <w:pPr>
        <w:numPr>
          <w:ilvl w:val="0"/>
          <w:numId w:val="1"/>
        </w:numPr>
        <w:spacing w:before="100" w:beforeAutospacing="1" w:after="100" w:afterAutospacing="1"/>
        <w:divId w:val="1735085490"/>
        <w:rPr>
          <w:rFonts w:eastAsia="Times New Roman"/>
        </w:rPr>
      </w:pPr>
      <w:hyperlink w:anchor="CoreConcepts-TektonPipelinesforCI/CD" w:history="1">
        <w:r>
          <w:rPr>
            <w:rStyle w:val="Hyperlink"/>
            <w:rFonts w:eastAsia="Times New Roman"/>
          </w:rPr>
          <w:t>Tekton Pipelines for CI/CD</w:t>
        </w:r>
      </w:hyperlink>
    </w:p>
    <w:p w14:paraId="2620104F" w14:textId="77777777" w:rsidR="00A0583F" w:rsidRDefault="00A0583F">
      <w:pPr>
        <w:numPr>
          <w:ilvl w:val="0"/>
          <w:numId w:val="1"/>
        </w:numPr>
        <w:spacing w:before="100" w:beforeAutospacing="1" w:after="100" w:afterAutospacing="1"/>
        <w:divId w:val="1735085490"/>
        <w:rPr>
          <w:rFonts w:eastAsia="Times New Roman"/>
        </w:rPr>
      </w:pPr>
      <w:hyperlink w:anchor="CoreConcepts-DeploymentwithArgoCD" w:history="1">
        <w:r>
          <w:rPr>
            <w:rStyle w:val="Hyperlink"/>
            <w:rFonts w:eastAsia="Times New Roman"/>
          </w:rPr>
          <w:t>Deployment with ArgoCD</w:t>
        </w:r>
      </w:hyperlink>
      <w:r>
        <w:rPr>
          <w:rFonts w:eastAsia="Times New Roman"/>
        </w:rPr>
        <w:t xml:space="preserve"> </w:t>
      </w:r>
    </w:p>
    <w:p w14:paraId="371E614B" w14:textId="77777777" w:rsidR="00A0583F" w:rsidRDefault="00A0583F">
      <w:pPr>
        <w:numPr>
          <w:ilvl w:val="1"/>
          <w:numId w:val="1"/>
        </w:numPr>
        <w:spacing w:before="100" w:beforeAutospacing="1" w:after="100" w:afterAutospacing="1"/>
        <w:divId w:val="1735085490"/>
        <w:rPr>
          <w:rFonts w:eastAsia="Times New Roman"/>
        </w:rPr>
      </w:pPr>
      <w:hyperlink w:anchor="CoreConcepts-IndividualArgoCDinstances" w:history="1">
        <w:r>
          <w:rPr>
            <w:rStyle w:val="Hyperlink"/>
            <w:rFonts w:eastAsia="Times New Roman"/>
          </w:rPr>
          <w:t>Individual ArgoCD instances</w:t>
        </w:r>
      </w:hyperlink>
    </w:p>
    <w:p w14:paraId="238755BC" w14:textId="77777777" w:rsidR="00A0583F" w:rsidRDefault="00A0583F">
      <w:pPr>
        <w:numPr>
          <w:ilvl w:val="1"/>
          <w:numId w:val="1"/>
        </w:numPr>
        <w:spacing w:before="100" w:beforeAutospacing="1" w:after="100" w:afterAutospacing="1"/>
        <w:divId w:val="1735085490"/>
        <w:rPr>
          <w:rFonts w:eastAsia="Times New Roman"/>
        </w:rPr>
      </w:pPr>
      <w:hyperlink w:anchor="CoreConcepts-AppofAppsPattern" w:history="1">
        <w:r>
          <w:rPr>
            <w:rStyle w:val="Hyperlink"/>
            <w:rFonts w:eastAsia="Times New Roman"/>
          </w:rPr>
          <w:t>App of Apps Pattern</w:t>
        </w:r>
      </w:hyperlink>
    </w:p>
    <w:p w14:paraId="19F0DED2" w14:textId="77777777" w:rsidR="00A0583F" w:rsidRDefault="00A0583F">
      <w:pPr>
        <w:numPr>
          <w:ilvl w:val="0"/>
          <w:numId w:val="1"/>
        </w:numPr>
        <w:spacing w:before="100" w:beforeAutospacing="1" w:after="100" w:afterAutospacing="1"/>
        <w:divId w:val="1735085490"/>
        <w:rPr>
          <w:rFonts w:eastAsia="Times New Roman"/>
        </w:rPr>
      </w:pPr>
      <w:hyperlink w:anchor="CoreConcepts-ESTATektonPipelines" w:history="1">
        <w:r>
          <w:rPr>
            <w:rStyle w:val="Hyperlink"/>
            <w:rFonts w:eastAsia="Times New Roman"/>
          </w:rPr>
          <w:t>ESTA Tekton Pipelines</w:t>
        </w:r>
      </w:hyperlink>
    </w:p>
    <w:p w14:paraId="48A0E9BE" w14:textId="77777777" w:rsidR="00A0583F" w:rsidRDefault="00A0583F">
      <w:pPr>
        <w:pStyle w:val="berschrift1"/>
        <w:divId w:val="1213615518"/>
        <w:rPr>
          <w:rFonts w:eastAsia="Times New Roman"/>
        </w:rPr>
      </w:pPr>
      <w:r>
        <w:rPr>
          <w:rFonts w:eastAsia="Times New Roman"/>
        </w:rPr>
        <w:t>Tekton Pipelines for CI/CD</w:t>
      </w:r>
    </w:p>
    <w:p w14:paraId="6033F47D" w14:textId="77777777" w:rsidR="00A0583F" w:rsidRDefault="00A0583F">
      <w:pPr>
        <w:pStyle w:val="StandardWeb"/>
        <w:divId w:val="247734544"/>
      </w:pPr>
    </w:p>
    <w:p w14:paraId="443750C7" w14:textId="7F89AE41" w:rsidR="00A0583F" w:rsidRDefault="00A0583F">
      <w:pPr>
        <w:pStyle w:val="StandardWeb"/>
        <w:divId w:val="307247082"/>
      </w:pPr>
      <w:r>
        <w:t>In ESTA Tekton CI/CD we use </w:t>
      </w:r>
      <w:hyperlink r:id="rId5" w:history="1">
        <w:r>
          <w:rPr>
            <w:rStyle w:val="Hyperlink"/>
          </w:rPr>
          <w:t>Tekton</w:t>
        </w:r>
      </w:hyperlink>
      <w:r>
        <w:t xml:space="preserve"> or the </w:t>
      </w:r>
      <w:hyperlink r:id="rId6" w:history="1">
        <w:r>
          <w:rPr>
            <w:rStyle w:val="Hyperlink"/>
          </w:rPr>
          <w:t>OpenShift variant</w:t>
        </w:r>
      </w:hyperlink>
      <w:r>
        <w:t xml:space="preserve"> of it in its core. Tekton is available on the dedicated build cluster. For the build and release process ESTA Tekton implements standard pipelines based on Tekton. The Pipelines are started by the </w:t>
      </w:r>
      <w:r>
        <w:rPr>
          <w:rStyle w:val="Hervorhebung"/>
        </w:rPr>
        <w:t>ESTA Tekton Controller</w:t>
      </w:r>
      <w:r>
        <w:t xml:space="preserve"> (see </w:t>
      </w:r>
      <w:hyperlink r:id="rId7" w:history="1">
        <w:r>
          <w:rPr>
            <w:rStyle w:val="Hyperlink"/>
          </w:rPr>
          <w:t>Architecture Overview</w:t>
        </w:r>
      </w:hyperlink>
      <w:r>
        <w:t>). Frontend to the builds is </w:t>
      </w:r>
      <w:r>
        <w:rPr>
          <w:rStyle w:val="Hervorhebung"/>
        </w:rPr>
        <w:t>Tekton Control Panel.</w:t>
      </w:r>
      <w:r>
        <w:t xml:space="preserve"> No direct access or deep understanding of Tekton is necessary for the user to operate the build system.</w:t>
      </w:r>
    </w:p>
    <w:p w14:paraId="1922B551" w14:textId="77777777" w:rsidR="00A0583F" w:rsidRDefault="00A0583F">
      <w:pPr>
        <w:pStyle w:val="StandardWeb"/>
        <w:divId w:val="307247082"/>
      </w:pPr>
      <w:r>
        <w:t xml:space="preserve">Tekton however is a very powerful tool and the ESTA Tekton build system also allows modifications or extensions to the standard pipelines we provide. It even supports to create completely custom pipelines which are still started and monitored by the controller. If the standardized build process doesn't cover all your needs, we recommend to learn more about </w:t>
      </w:r>
      <w:hyperlink r:id="rId8" w:history="1">
        <w:r>
          <w:rPr>
            <w:rStyle w:val="Hyperlink"/>
          </w:rPr>
          <w:t>Tekton Pipelines</w:t>
        </w:r>
      </w:hyperlink>
      <w:r>
        <w:t xml:space="preserve"> and start building your own. In the future it will be possible to overwrite the esta standard pipelines by your own. Of course the Clew team can support you with your needs or feature requests.</w:t>
      </w:r>
    </w:p>
    <w:p w14:paraId="6392A1CA" w14:textId="77777777" w:rsidR="00A0583F" w:rsidRDefault="00A0583F">
      <w:pPr>
        <w:pStyle w:val="StandardWeb"/>
        <w:divId w:val="693119075"/>
      </w:pPr>
      <w:r>
        <w:rPr>
          <w:noProof/>
        </w:rPr>
        <w:drawing>
          <wp:inline distT="0" distB="0" distL="0" distR="0" wp14:anchorId="762B6917" wp14:editId="2B68A98B">
            <wp:extent cx="1287780" cy="1363980"/>
            <wp:effectExtent l="0" t="0" r="7620" b="7620"/>
            <wp:docPr id="1" name="Bild 1" descr="Tekton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ton c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780" cy="1363980"/>
                    </a:xfrm>
                    <a:prstGeom prst="rect">
                      <a:avLst/>
                    </a:prstGeom>
                    <a:noFill/>
                    <a:ln>
                      <a:noFill/>
                    </a:ln>
                  </pic:spPr>
                </pic:pic>
              </a:graphicData>
            </a:graphic>
          </wp:inline>
        </w:drawing>
      </w:r>
    </w:p>
    <w:p w14:paraId="0B55B986" w14:textId="77777777" w:rsidR="00A0583F" w:rsidRDefault="00A0583F">
      <w:pPr>
        <w:pStyle w:val="berschrift1"/>
        <w:divId w:val="652681229"/>
        <w:rPr>
          <w:rFonts w:eastAsia="Times New Roman"/>
        </w:rPr>
      </w:pPr>
      <w:r>
        <w:rPr>
          <w:rFonts w:eastAsia="Times New Roman"/>
        </w:rPr>
        <w:t>Deployment with ArgoCD</w:t>
      </w:r>
    </w:p>
    <w:p w14:paraId="72BAF5CF" w14:textId="77777777" w:rsidR="00A0583F" w:rsidRDefault="00A0583F">
      <w:pPr>
        <w:pStyle w:val="StandardWeb"/>
        <w:divId w:val="616982505"/>
      </w:pPr>
    </w:p>
    <w:p w14:paraId="097505E1" w14:textId="77777777" w:rsidR="00A0583F" w:rsidRDefault="00A0583F">
      <w:pPr>
        <w:pStyle w:val="StandardWeb"/>
        <w:divId w:val="451093231"/>
      </w:pPr>
      <w:r>
        <w:t xml:space="preserve">For the deployment of the ESTA Tekton CI/CD system we recommend to use </w:t>
      </w:r>
      <w:hyperlink r:id="rId10" w:history="1">
        <w:r>
          <w:rPr>
            <w:rStyle w:val="Hyperlink"/>
          </w:rPr>
          <w:t>ArgoCD</w:t>
        </w:r>
      </w:hyperlink>
      <w:r>
        <w:t xml:space="preserve"> with </w:t>
      </w:r>
      <w:hyperlink r:id="rId11" w:history="1">
        <w:r>
          <w:rPr>
            <w:rStyle w:val="Hyperlink"/>
          </w:rPr>
          <w:t>Helm</w:t>
        </w:r>
      </w:hyperlink>
      <w:r>
        <w:t xml:space="preserve"> charts to describe the project deployment. Deployment is not an integrated part of Tekton pipelines and thus ArgoCD is only one option to choose, although the preferred one. The build pipelines can create Helm charts and publish them to a Helm repository in Artifactory. ArgoCD </w:t>
      </w:r>
      <w:r>
        <w:lastRenderedPageBreak/>
        <w:t>can be configured to apply these Helm charts from Artifactory or directly sync charts from a Git repository.</w:t>
      </w:r>
    </w:p>
    <w:p w14:paraId="696F4FFE" w14:textId="77777777" w:rsidR="00A0583F" w:rsidRDefault="00A0583F">
      <w:pPr>
        <w:pStyle w:val="berschrift2"/>
        <w:divId w:val="451093231"/>
        <w:rPr>
          <w:rFonts w:eastAsia="Times New Roman"/>
        </w:rPr>
      </w:pPr>
      <w:r>
        <w:rPr>
          <w:rFonts w:eastAsia="Times New Roman"/>
        </w:rPr>
        <w:t>Individual ArgoCD instances</w:t>
      </w:r>
    </w:p>
    <w:p w14:paraId="6E5CB982" w14:textId="77777777" w:rsidR="00A0583F" w:rsidRDefault="00A0583F">
      <w:pPr>
        <w:pStyle w:val="StandardWeb"/>
        <w:divId w:val="451093231"/>
      </w:pPr>
      <w:r>
        <w:t xml:space="preserve">As shown in the </w:t>
      </w:r>
      <w:hyperlink r:id="rId12" w:history="1">
        <w:r>
          <w:rPr>
            <w:rStyle w:val="Hyperlink"/>
          </w:rPr>
          <w:t>Architecture Overview</w:t>
        </w:r>
      </w:hyperlink>
      <w:r>
        <w:t>, individual ArgoCD instances are set up on the cluster where your projects are deployed and are just triggered by Tekton to sync after successful builds. The setup and configuration (including access control) is specific to each business unit for maximum flexibility and security.</w:t>
      </w:r>
    </w:p>
    <w:p w14:paraId="7645A231" w14:textId="77777777" w:rsidR="00A0583F" w:rsidRDefault="00A0583F">
      <w:pPr>
        <w:pStyle w:val="berschrift2"/>
        <w:divId w:val="451093231"/>
        <w:rPr>
          <w:rFonts w:eastAsia="Times New Roman"/>
        </w:rPr>
      </w:pPr>
      <w:r>
        <w:rPr>
          <w:rFonts w:eastAsia="Times New Roman"/>
        </w:rPr>
        <w:t>App of Apps Pattern</w:t>
      </w:r>
    </w:p>
    <w:p w14:paraId="686C1647" w14:textId="77777777" w:rsidR="00A0583F" w:rsidRDefault="00A0583F">
      <w:pPr>
        <w:pStyle w:val="StandardWeb"/>
        <w:divId w:val="451093231"/>
      </w:pPr>
      <w:r>
        <w:t xml:space="preserve">ArgoCD promotes the GitOps approach.  So almost all of its configurations should be stored in Git. We recommend to implement the </w:t>
      </w:r>
      <w:hyperlink r:id="rId13" w:history="1">
        <w:r>
          <w:rPr>
            <w:rStyle w:val="Hyperlink"/>
          </w:rPr>
          <w:t>app of apps pattern</w:t>
        </w:r>
      </w:hyperlink>
      <w:r>
        <w:t xml:space="preserve"> as described in the ArgoCD documentation.</w:t>
      </w:r>
    </w:p>
    <w:p w14:paraId="159F91F7" w14:textId="77777777" w:rsidR="00A0583F" w:rsidRDefault="00A0583F">
      <w:pPr>
        <w:pStyle w:val="StandardWeb"/>
        <w:divId w:val="451093231"/>
      </w:pPr>
    </w:p>
    <w:p w14:paraId="25AF60FC" w14:textId="77777777" w:rsidR="00A0583F" w:rsidRDefault="00A0583F">
      <w:pPr>
        <w:pStyle w:val="StandardWeb"/>
        <w:divId w:val="1621259429"/>
      </w:pPr>
      <w:r>
        <w:rPr>
          <w:noProof/>
        </w:rPr>
        <w:drawing>
          <wp:inline distT="0" distB="0" distL="0" distR="0" wp14:anchorId="0D209502" wp14:editId="36013249">
            <wp:extent cx="1371600" cy="1752600"/>
            <wp:effectExtent l="0" t="0" r="0" b="0"/>
            <wp:docPr id="2" name="Bild 2" descr="A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752600"/>
                    </a:xfrm>
                    <a:prstGeom prst="rect">
                      <a:avLst/>
                    </a:prstGeom>
                    <a:noFill/>
                    <a:ln>
                      <a:noFill/>
                    </a:ln>
                  </pic:spPr>
                </pic:pic>
              </a:graphicData>
            </a:graphic>
          </wp:inline>
        </w:drawing>
      </w:r>
    </w:p>
    <w:p w14:paraId="54287C7C" w14:textId="77777777" w:rsidR="00A0583F" w:rsidRDefault="00A0583F">
      <w:pPr>
        <w:pStyle w:val="berschrift1"/>
        <w:divId w:val="826943435"/>
        <w:rPr>
          <w:rFonts w:eastAsia="Times New Roman"/>
        </w:rPr>
      </w:pPr>
      <w:r>
        <w:rPr>
          <w:rFonts w:eastAsia="Times New Roman"/>
        </w:rPr>
        <w:t>ESTA Tekton Pipelines</w:t>
      </w:r>
    </w:p>
    <w:p w14:paraId="303C9231" w14:textId="77777777" w:rsidR="00A0583F" w:rsidRDefault="00A0583F">
      <w:pPr>
        <w:pStyle w:val="StandardWeb"/>
        <w:divId w:val="826943435"/>
      </w:pPr>
      <w:r>
        <w:t xml:space="preserve">So what are </w:t>
      </w:r>
      <w:r>
        <w:rPr>
          <w:rStyle w:val="Hervorhebung"/>
        </w:rPr>
        <w:t>ESTA</w:t>
      </w:r>
      <w:r>
        <w:t xml:space="preserve"> Tekton Pipelines then?</w:t>
      </w:r>
    </w:p>
    <w:p w14:paraId="1EC11FEB" w14:textId="77777777" w:rsidR="00A0583F" w:rsidRDefault="00A0583F">
      <w:pPr>
        <w:pStyle w:val="StandardWeb"/>
        <w:divId w:val="826943435"/>
      </w:pPr>
      <w:r>
        <w:t xml:space="preserve">It's a catalog of standard </w:t>
      </w:r>
      <w:hyperlink r:id="rId15" w:history="1">
        <w:r>
          <w:rPr>
            <w:rStyle w:val="Hyperlink"/>
          </w:rPr>
          <w:t>Tekton pipelines</w:t>
        </w:r>
      </w:hyperlink>
      <w:r>
        <w:t xml:space="preserve"> and tasks used to build and deploy SBB projects from a </w:t>
      </w:r>
      <w:r>
        <w:rPr>
          <w:rStyle w:val="HTMLCode"/>
        </w:rPr>
        <w:t>estaTektonPipeline.json</w:t>
      </w:r>
      <w:r>
        <w:t xml:space="preserve"> definition. Each pipeline definition has a corresponding template (</w:t>
      </w:r>
      <w:r>
        <w:rPr>
          <w:rStyle w:val="HTMLCode"/>
        </w:rPr>
        <w:t>_run.yaml</w:t>
      </w:r>
      <w:r>
        <w:t xml:space="preserve">) to start a </w:t>
      </w:r>
      <w:hyperlink r:id="rId16" w:history="1">
        <w:r>
          <w:rPr>
            <w:rStyle w:val="Hyperlink"/>
          </w:rPr>
          <w:t>PipelineRun</w:t>
        </w:r>
      </w:hyperlink>
      <w:r>
        <w:t xml:space="preserve"> using a set of parameters. These files are primarily controlled by the </w:t>
      </w:r>
      <w:r>
        <w:rPr>
          <w:rStyle w:val="Hervorhebung"/>
        </w:rPr>
        <w:t>ESTA Tekton Controller</w:t>
      </w:r>
      <w:r>
        <w:t xml:space="preserve"> </w:t>
      </w:r>
      <w:r>
        <w:t>but can also be applied and run individually. The ESTA Tekton Controller makes sure that all those pipelines with their referenced task definitions are present in the build namespace.</w:t>
      </w:r>
    </w:p>
    <w:p w14:paraId="71F24419" w14:textId="77777777" w:rsidR="00A0583F" w:rsidRDefault="00A0583F">
      <w:pPr>
        <w:pStyle w:val="StandardWeb"/>
        <w:jc w:val="center"/>
        <w:divId w:val="656611413"/>
      </w:pPr>
      <w:r>
        <w:rPr>
          <w:noProof/>
        </w:rPr>
        <w:lastRenderedPageBreak/>
        <w:drawing>
          <wp:inline distT="0" distB="0" distL="0" distR="0" wp14:anchorId="66F2FC13" wp14:editId="12BD51C7">
            <wp:extent cx="2369820" cy="2628900"/>
            <wp:effectExtent l="0" t="0" r="0" b="0"/>
            <wp:docPr id="3" name="Bild 3" descr="ESTA Tek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A Tekton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820" cy="2628900"/>
                    </a:xfrm>
                    <a:prstGeom prst="rect">
                      <a:avLst/>
                    </a:prstGeom>
                    <a:noFill/>
                    <a:ln>
                      <a:noFill/>
                    </a:ln>
                  </pic:spPr>
                </pic:pic>
              </a:graphicData>
            </a:graphic>
          </wp:inline>
        </w:drawing>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33742"/>
    <w:multiLevelType w:val="multilevel"/>
    <w:tmpl w:val="6122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03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0583F"/>
    <w:rsid w:val="00A058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578D0"/>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ervorhebung">
    <w:name w:val="Emphasis"/>
    <w:basedOn w:val="Absatz-Standardschriftart"/>
    <w:uiPriority w:val="20"/>
    <w:qFormat/>
    <w:rPr>
      <w:i/>
      <w:iCs/>
    </w:rPr>
  </w:style>
  <w:style w:type="character" w:customStyle="1" w:styleId="confluence-embedded-file-wrapper">
    <w:name w:val="confluence-embedded-file-wrapper"/>
    <w:basedOn w:val="Absatz-Standardschriftart"/>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0F4761" w:themeColor="accent1" w:themeShade="BF"/>
      <w:sz w:val="32"/>
      <w:szCs w:val="32"/>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45709">
      <w:marLeft w:val="0"/>
      <w:marRight w:val="0"/>
      <w:marTop w:val="0"/>
      <w:marBottom w:val="0"/>
      <w:divBdr>
        <w:top w:val="none" w:sz="0" w:space="0" w:color="auto"/>
        <w:left w:val="none" w:sz="0" w:space="0" w:color="auto"/>
        <w:bottom w:val="none" w:sz="0" w:space="0" w:color="auto"/>
        <w:right w:val="none" w:sz="0" w:space="0" w:color="auto"/>
      </w:divBdr>
      <w:divsChild>
        <w:div w:id="1449930289">
          <w:marLeft w:val="0"/>
          <w:marRight w:val="0"/>
          <w:marTop w:val="0"/>
          <w:marBottom w:val="0"/>
          <w:divBdr>
            <w:top w:val="none" w:sz="0" w:space="0" w:color="auto"/>
            <w:left w:val="none" w:sz="0" w:space="0" w:color="auto"/>
            <w:bottom w:val="none" w:sz="0" w:space="0" w:color="auto"/>
            <w:right w:val="none" w:sz="0" w:space="0" w:color="auto"/>
          </w:divBdr>
          <w:divsChild>
            <w:div w:id="1453091891">
              <w:marLeft w:val="0"/>
              <w:marRight w:val="0"/>
              <w:marTop w:val="0"/>
              <w:marBottom w:val="0"/>
              <w:divBdr>
                <w:top w:val="none" w:sz="0" w:space="0" w:color="auto"/>
                <w:left w:val="none" w:sz="0" w:space="0" w:color="auto"/>
                <w:bottom w:val="none" w:sz="0" w:space="0" w:color="auto"/>
                <w:right w:val="none" w:sz="0" w:space="0" w:color="auto"/>
              </w:divBdr>
              <w:divsChild>
                <w:div w:id="1213615518">
                  <w:marLeft w:val="0"/>
                  <w:marRight w:val="0"/>
                  <w:marTop w:val="0"/>
                  <w:marBottom w:val="0"/>
                  <w:divBdr>
                    <w:top w:val="none" w:sz="0" w:space="0" w:color="auto"/>
                    <w:left w:val="none" w:sz="0" w:space="0" w:color="auto"/>
                    <w:bottom w:val="none" w:sz="0" w:space="0" w:color="auto"/>
                    <w:right w:val="none" w:sz="0" w:space="0" w:color="auto"/>
                  </w:divBdr>
                  <w:divsChild>
                    <w:div w:id="17350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337">
              <w:marLeft w:val="0"/>
              <w:marRight w:val="0"/>
              <w:marTop w:val="0"/>
              <w:marBottom w:val="0"/>
              <w:divBdr>
                <w:top w:val="none" w:sz="0" w:space="0" w:color="auto"/>
                <w:left w:val="none" w:sz="0" w:space="0" w:color="auto"/>
                <w:bottom w:val="none" w:sz="0" w:space="0" w:color="auto"/>
                <w:right w:val="none" w:sz="0" w:space="0" w:color="auto"/>
              </w:divBdr>
              <w:divsChild>
                <w:div w:id="2477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2214">
          <w:marLeft w:val="0"/>
          <w:marRight w:val="0"/>
          <w:marTop w:val="0"/>
          <w:marBottom w:val="0"/>
          <w:divBdr>
            <w:top w:val="none" w:sz="0" w:space="0" w:color="auto"/>
            <w:left w:val="none" w:sz="0" w:space="0" w:color="auto"/>
            <w:bottom w:val="none" w:sz="0" w:space="0" w:color="auto"/>
            <w:right w:val="none" w:sz="0" w:space="0" w:color="auto"/>
          </w:divBdr>
          <w:divsChild>
            <w:div w:id="816148779">
              <w:marLeft w:val="0"/>
              <w:marRight w:val="0"/>
              <w:marTop w:val="0"/>
              <w:marBottom w:val="0"/>
              <w:divBdr>
                <w:top w:val="none" w:sz="0" w:space="0" w:color="auto"/>
                <w:left w:val="none" w:sz="0" w:space="0" w:color="auto"/>
                <w:bottom w:val="none" w:sz="0" w:space="0" w:color="auto"/>
                <w:right w:val="none" w:sz="0" w:space="0" w:color="auto"/>
              </w:divBdr>
              <w:divsChild>
                <w:div w:id="307247082">
                  <w:marLeft w:val="0"/>
                  <w:marRight w:val="0"/>
                  <w:marTop w:val="0"/>
                  <w:marBottom w:val="0"/>
                  <w:divBdr>
                    <w:top w:val="none" w:sz="0" w:space="0" w:color="auto"/>
                    <w:left w:val="none" w:sz="0" w:space="0" w:color="auto"/>
                    <w:bottom w:val="none" w:sz="0" w:space="0" w:color="auto"/>
                    <w:right w:val="none" w:sz="0" w:space="0" w:color="auto"/>
                  </w:divBdr>
                </w:div>
              </w:divsChild>
            </w:div>
            <w:div w:id="1969967846">
              <w:marLeft w:val="0"/>
              <w:marRight w:val="0"/>
              <w:marTop w:val="0"/>
              <w:marBottom w:val="0"/>
              <w:divBdr>
                <w:top w:val="none" w:sz="0" w:space="0" w:color="auto"/>
                <w:left w:val="none" w:sz="0" w:space="0" w:color="auto"/>
                <w:bottom w:val="none" w:sz="0" w:space="0" w:color="auto"/>
                <w:right w:val="none" w:sz="0" w:space="0" w:color="auto"/>
              </w:divBdr>
              <w:divsChild>
                <w:div w:id="6931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1028">
          <w:marLeft w:val="0"/>
          <w:marRight w:val="0"/>
          <w:marTop w:val="0"/>
          <w:marBottom w:val="0"/>
          <w:divBdr>
            <w:top w:val="none" w:sz="0" w:space="0" w:color="auto"/>
            <w:left w:val="none" w:sz="0" w:space="0" w:color="auto"/>
            <w:bottom w:val="none" w:sz="0" w:space="0" w:color="auto"/>
            <w:right w:val="none" w:sz="0" w:space="0" w:color="auto"/>
          </w:divBdr>
          <w:divsChild>
            <w:div w:id="510023203">
              <w:marLeft w:val="0"/>
              <w:marRight w:val="0"/>
              <w:marTop w:val="0"/>
              <w:marBottom w:val="0"/>
              <w:divBdr>
                <w:top w:val="none" w:sz="0" w:space="0" w:color="auto"/>
                <w:left w:val="none" w:sz="0" w:space="0" w:color="auto"/>
                <w:bottom w:val="none" w:sz="0" w:space="0" w:color="auto"/>
                <w:right w:val="none" w:sz="0" w:space="0" w:color="auto"/>
              </w:divBdr>
              <w:divsChild>
                <w:div w:id="652681229">
                  <w:marLeft w:val="0"/>
                  <w:marRight w:val="0"/>
                  <w:marTop w:val="0"/>
                  <w:marBottom w:val="0"/>
                  <w:divBdr>
                    <w:top w:val="none" w:sz="0" w:space="0" w:color="auto"/>
                    <w:left w:val="none" w:sz="0" w:space="0" w:color="auto"/>
                    <w:bottom w:val="none" w:sz="0" w:space="0" w:color="auto"/>
                    <w:right w:val="none" w:sz="0" w:space="0" w:color="auto"/>
                  </w:divBdr>
                </w:div>
              </w:divsChild>
            </w:div>
            <w:div w:id="1869222841">
              <w:marLeft w:val="0"/>
              <w:marRight w:val="0"/>
              <w:marTop w:val="0"/>
              <w:marBottom w:val="0"/>
              <w:divBdr>
                <w:top w:val="none" w:sz="0" w:space="0" w:color="auto"/>
                <w:left w:val="none" w:sz="0" w:space="0" w:color="auto"/>
                <w:bottom w:val="none" w:sz="0" w:space="0" w:color="auto"/>
                <w:right w:val="none" w:sz="0" w:space="0" w:color="auto"/>
              </w:divBdr>
              <w:divsChild>
                <w:div w:id="616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5193">
          <w:marLeft w:val="0"/>
          <w:marRight w:val="0"/>
          <w:marTop w:val="0"/>
          <w:marBottom w:val="0"/>
          <w:divBdr>
            <w:top w:val="none" w:sz="0" w:space="0" w:color="auto"/>
            <w:left w:val="none" w:sz="0" w:space="0" w:color="auto"/>
            <w:bottom w:val="none" w:sz="0" w:space="0" w:color="auto"/>
            <w:right w:val="none" w:sz="0" w:space="0" w:color="auto"/>
          </w:divBdr>
          <w:divsChild>
            <w:div w:id="987367677">
              <w:marLeft w:val="0"/>
              <w:marRight w:val="0"/>
              <w:marTop w:val="0"/>
              <w:marBottom w:val="0"/>
              <w:divBdr>
                <w:top w:val="none" w:sz="0" w:space="0" w:color="auto"/>
                <w:left w:val="none" w:sz="0" w:space="0" w:color="auto"/>
                <w:bottom w:val="none" w:sz="0" w:space="0" w:color="auto"/>
                <w:right w:val="none" w:sz="0" w:space="0" w:color="auto"/>
              </w:divBdr>
              <w:divsChild>
                <w:div w:id="451093231">
                  <w:marLeft w:val="0"/>
                  <w:marRight w:val="0"/>
                  <w:marTop w:val="0"/>
                  <w:marBottom w:val="0"/>
                  <w:divBdr>
                    <w:top w:val="none" w:sz="0" w:space="0" w:color="auto"/>
                    <w:left w:val="none" w:sz="0" w:space="0" w:color="auto"/>
                    <w:bottom w:val="none" w:sz="0" w:space="0" w:color="auto"/>
                    <w:right w:val="none" w:sz="0" w:space="0" w:color="auto"/>
                  </w:divBdr>
                </w:div>
              </w:divsChild>
            </w:div>
            <w:div w:id="410852733">
              <w:marLeft w:val="0"/>
              <w:marRight w:val="0"/>
              <w:marTop w:val="0"/>
              <w:marBottom w:val="0"/>
              <w:divBdr>
                <w:top w:val="none" w:sz="0" w:space="0" w:color="auto"/>
                <w:left w:val="none" w:sz="0" w:space="0" w:color="auto"/>
                <w:bottom w:val="none" w:sz="0" w:space="0" w:color="auto"/>
                <w:right w:val="none" w:sz="0" w:space="0" w:color="auto"/>
              </w:divBdr>
              <w:divsChild>
                <w:div w:id="16212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368">
          <w:marLeft w:val="0"/>
          <w:marRight w:val="0"/>
          <w:marTop w:val="0"/>
          <w:marBottom w:val="0"/>
          <w:divBdr>
            <w:top w:val="none" w:sz="0" w:space="0" w:color="auto"/>
            <w:left w:val="none" w:sz="0" w:space="0" w:color="auto"/>
            <w:bottom w:val="none" w:sz="0" w:space="0" w:color="auto"/>
            <w:right w:val="none" w:sz="0" w:space="0" w:color="auto"/>
          </w:divBdr>
          <w:divsChild>
            <w:div w:id="936913757">
              <w:marLeft w:val="0"/>
              <w:marRight w:val="0"/>
              <w:marTop w:val="0"/>
              <w:marBottom w:val="0"/>
              <w:divBdr>
                <w:top w:val="none" w:sz="0" w:space="0" w:color="auto"/>
                <w:left w:val="none" w:sz="0" w:space="0" w:color="auto"/>
                <w:bottom w:val="none" w:sz="0" w:space="0" w:color="auto"/>
                <w:right w:val="none" w:sz="0" w:space="0" w:color="auto"/>
              </w:divBdr>
              <w:divsChild>
                <w:div w:id="826943435">
                  <w:marLeft w:val="0"/>
                  <w:marRight w:val="0"/>
                  <w:marTop w:val="0"/>
                  <w:marBottom w:val="0"/>
                  <w:divBdr>
                    <w:top w:val="none" w:sz="0" w:space="0" w:color="auto"/>
                    <w:left w:val="none" w:sz="0" w:space="0" w:color="auto"/>
                    <w:bottom w:val="none" w:sz="0" w:space="0" w:color="auto"/>
                    <w:right w:val="none" w:sz="0" w:space="0" w:color="auto"/>
                  </w:divBdr>
                </w:div>
              </w:divsChild>
            </w:div>
            <w:div w:id="119425859">
              <w:marLeft w:val="0"/>
              <w:marRight w:val="0"/>
              <w:marTop w:val="0"/>
              <w:marBottom w:val="0"/>
              <w:divBdr>
                <w:top w:val="none" w:sz="0" w:space="0" w:color="auto"/>
                <w:left w:val="none" w:sz="0" w:space="0" w:color="auto"/>
                <w:bottom w:val="none" w:sz="0" w:space="0" w:color="auto"/>
                <w:right w:val="none" w:sz="0" w:space="0" w:color="auto"/>
              </w:divBdr>
              <w:divsChild>
                <w:div w:id="6566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ton.dev/docs/pipelines/" TargetMode="External"/><Relationship Id="rId13" Type="http://schemas.openxmlformats.org/officeDocument/2006/relationships/hyperlink" Target="https://argoproj.github.io/argo-cd/operator-manual/cluster-bootstrapp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display\CLEW\ESTA+Tekton+Pipeline" TargetMode="External"/><Relationship Id="rId12" Type="http://schemas.openxmlformats.org/officeDocument/2006/relationships/hyperlink" Target="https://confluence.sbb.ch/display/CLEW/ESTA+Tekton+Pipeline" TargetMode="External"/><Relationship Id="rId1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hyperlink" Target="https://tekton.dev/docs/pipelines/pipelineruns/" TargetMode="External"/><Relationship Id="rId1" Type="http://schemas.openxmlformats.org/officeDocument/2006/relationships/numbering" Target="numbering.xml"/><Relationship Id="rId6" Type="http://schemas.openxmlformats.org/officeDocument/2006/relationships/hyperlink" Target="https://docs.openshift.com/container-platform/4.7/cicd/pipelines/understanding-openshift-pipelines.html" TargetMode="External"/><Relationship Id="rId11" Type="http://schemas.openxmlformats.org/officeDocument/2006/relationships/hyperlink" Target="https://helm.sh/" TargetMode="External"/><Relationship Id="rId5" Type="http://schemas.openxmlformats.org/officeDocument/2006/relationships/hyperlink" Target="https://tekton.dev/" TargetMode="External"/><Relationship Id="rId15" Type="http://schemas.openxmlformats.org/officeDocument/2006/relationships/hyperlink" Target="https://tekton.dev/docs/pipelines/" TargetMode="External"/><Relationship Id="rId10" Type="http://schemas.openxmlformats.org/officeDocument/2006/relationships/hyperlink" Target="https://argoproj.github.io/c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3201</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Concepts</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