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337" w14:textId="77777777" w:rsidR="0087429E" w:rsidRDefault="0087429E">
      <w:pPr>
        <w:pStyle w:val="berschrift1"/>
        <w:rPr>
          <w:rFonts w:eastAsia="Times New Roman"/>
        </w:rPr>
      </w:pPr>
      <w:r>
        <w:rPr>
          <w:rFonts w:eastAsia="Times New Roman"/>
        </w:rPr>
        <w:t>Esta-Tekton AzureAd-, APIM-, Kafka-Registration Prototyp - Technologieauswahl</w:t>
      </w:r>
    </w:p>
    <w:p w14:paraId="2973063D" w14:textId="31CAB7DF" w:rsidR="0087429E" w:rsidRDefault="0087429E">
      <w:pPr>
        <w:pStyle w:val="auto-cursor-target"/>
      </w:pPr>
      <w:hyperlink r:id="rId5" w:history="1">
        <w:r>
          <w:rPr>
            <w:noProof/>
            <w:color w:val="0000FF"/>
          </w:rPr>
          <w:drawing>
            <wp:inline distT="0" distB="0" distL="0" distR="0" wp14:anchorId="4A577D35" wp14:editId="196B36DE">
              <wp:extent cx="304800" cy="304800"/>
              <wp:effectExtent l="0" t="0" r="0" b="0"/>
              <wp:docPr id="1" name="Bild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6"/>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ESTA-5242</w:t>
        </w:r>
      </w:hyperlink>
      <w:r>
        <w:rPr>
          <w:rStyle w:val="jira-issue"/>
        </w:rPr>
        <w:t xml:space="preserve"> - </w:t>
      </w:r>
      <w:r>
        <w:rPr>
          <w:rStyle w:val="summary"/>
        </w:rPr>
        <w:t>Esta-Tekton AzureAd-, APIM-, Kafka-Registration Prototyp</w:t>
      </w:r>
      <w:r>
        <w:rPr>
          <w:rStyle w:val="jira-issue"/>
        </w:rPr>
        <w:t xml:space="preserve"> </w:t>
      </w:r>
      <w:r>
        <w:rPr>
          <w:rStyle w:val="aui-lozenge"/>
        </w:rPr>
        <w:t>Closed</w:t>
      </w:r>
      <w:r>
        <w:rPr>
          <w:rStyle w:val="jira-issue"/>
        </w:rPr>
        <w:t xml:space="preserve"> </w:t>
      </w:r>
      <w:r>
        <w:t>Nach dem Workshop mit</w:t>
      </w:r>
      <w:r>
        <w:t xml:space="preserve"> </w:t>
      </w:r>
      <w:hyperlink r:id="rId7" w:history="1">
        <w:r>
          <w:rPr>
            <w:rStyle w:val="Hyperlink"/>
          </w:rPr>
          <w:t>Spirig Lukas (IT-PTR-CEN2-SL3)</w:t>
        </w:r>
      </w:hyperlink>
      <w:r>
        <w:t xml:space="preserve"> </w:t>
      </w:r>
      <w:r>
        <w:t> </w:t>
      </w:r>
      <w:hyperlink r:id="rId8" w:history="1">
        <w:r>
          <w:rPr>
            <w:rStyle w:val="Hyperlink"/>
          </w:rPr>
          <w:t>Jeanneret Julien (IT-PTR-CEN1-BDE3)</w:t>
        </w:r>
      </w:hyperlink>
      <w:r>
        <w:t xml:space="preserve"> </w:t>
      </w:r>
      <w:r>
        <w:t> </w:t>
      </w:r>
      <w:hyperlink r:id="rId9" w:history="1">
        <w:r>
          <w:rPr>
            <w:rStyle w:val="Hyperlink"/>
          </w:rPr>
          <w:t>Brüderli Thomas (IT-PTR-CEN2-SL2)</w:t>
        </w:r>
      </w:hyperlink>
      <w:r>
        <w:t xml:space="preserve"> </w:t>
      </w:r>
      <w:hyperlink r:id="rId10" w:history="1">
        <w:r>
          <w:rPr>
            <w:rStyle w:val="Hyperlink"/>
          </w:rPr>
          <w:t>Masen Igor (IT-PTR-CEN2-SL11)</w:t>
        </w:r>
      </w:hyperlink>
      <w:r>
        <w:t xml:space="preserve"> </w:t>
      </w:r>
      <w:hyperlink r:id="rId11" w:history="1">
        <w:r>
          <w:rPr>
            <w:rStyle w:val="Hyperlink"/>
          </w:rPr>
          <w:t>Barahona José Luis (IT-PTR-CEN2-BDE16)</w:t>
        </w:r>
      </w:hyperlink>
      <w:r>
        <w:t xml:space="preserve"> </w:t>
      </w:r>
      <w:hyperlink r:id="rId12" w:history="1">
        <w:r>
          <w:rPr>
            <w:rStyle w:val="Hyperlink"/>
          </w:rPr>
          <w:t>Wallrapp Manuel (IT-PTR-EXT-EXT2 - Extern)</w:t>
        </w:r>
      </w:hyperlink>
      <w:r>
        <w:t> </w:t>
      </w:r>
    </w:p>
    <w:p w14:paraId="3CC32328" w14:textId="77777777" w:rsidR="0087429E" w:rsidRDefault="0087429E">
      <w:pPr>
        <w:pStyle w:val="auto-cursor-target"/>
      </w:pPr>
      <w:r>
        <w:t>haben wir entscheiden auf Openshift Operators als Technologie für AzureAd, APIM und Kafka Registrations zu setzen. Wir werden eine Beispielimplementierung anhand AzureAd Registration für einen Workshop mit den jeweiligen Teams vorbereiten.</w:t>
      </w:r>
    </w:p>
    <w:p w14:paraId="25289CEF" w14:textId="77777777" w:rsidR="0087429E" w:rsidRDefault="0087429E">
      <w:pPr>
        <w:pStyle w:val="auto-cursor-target"/>
      </w:pPr>
      <w:r>
        <w:t>Uns stehen zur Zeit 3 Technologien zur Auswahl: </w:t>
      </w:r>
    </w:p>
    <w:p w14:paraId="221949C7" w14:textId="77777777" w:rsidR="0087429E" w:rsidRDefault="0087429E">
      <w:pPr>
        <w:pStyle w:val="auto-cursor-target"/>
        <w:numPr>
          <w:ilvl w:val="0"/>
          <w:numId w:val="1"/>
        </w:numPr>
        <w:rPr>
          <w:rFonts w:eastAsia="Times New Roman"/>
        </w:rPr>
      </w:pPr>
      <w:r>
        <w:rPr>
          <w:rFonts w:eastAsia="Times New Roman"/>
        </w:rPr>
        <w:t>Operator</w:t>
      </w:r>
      <w:hyperlink r:id="rId13" w:history="1">
        <w:r>
          <w:rPr>
            <w:rStyle w:val="Hyperlink"/>
            <w:rFonts w:eastAsia="Times New Roman"/>
          </w:rPr>
          <w:t>https://flow.sbb.ch/browse/ESTA-5242</w:t>
        </w:r>
      </w:hyperlink>
    </w:p>
    <w:p w14:paraId="3F301FAD" w14:textId="77777777" w:rsidR="0087429E" w:rsidRDefault="0087429E">
      <w:pPr>
        <w:pStyle w:val="auto-cursor-target"/>
        <w:numPr>
          <w:ilvl w:val="0"/>
          <w:numId w:val="1"/>
        </w:numPr>
        <w:rPr>
          <w:rFonts w:eastAsia="Times New Roman"/>
        </w:rPr>
      </w:pPr>
      <w:r>
        <w:rPr>
          <w:rFonts w:eastAsia="Times New Roman"/>
        </w:rPr>
        <w:t>Tekton Taskrun</w:t>
      </w:r>
    </w:p>
    <w:p w14:paraId="343BF528" w14:textId="77777777" w:rsidR="0087429E" w:rsidRDefault="0087429E">
      <w:pPr>
        <w:pStyle w:val="auto-cursor-target"/>
        <w:numPr>
          <w:ilvl w:val="0"/>
          <w:numId w:val="1"/>
        </w:numPr>
        <w:rPr>
          <w:rFonts w:eastAsia="Times New Roman"/>
        </w:rPr>
      </w:pPr>
      <w:r>
        <w:rPr>
          <w:rFonts w:eastAsia="Times New Roman"/>
        </w:rPr>
        <w:t>Openshift Job.</w:t>
      </w:r>
    </w:p>
    <w:p w14:paraId="7B38DA0B" w14:textId="77777777" w:rsidR="0087429E" w:rsidRDefault="0087429E">
      <w:pPr>
        <w:pStyle w:val="StandardWeb"/>
      </w:pPr>
      <w:r>
        <w:t>Jede dieser Technologien bringt vor on und Nachteile. Dabei wollen wir evaluieren welchen technologischen Weg wir gehen wollen.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528"/>
        <w:gridCol w:w="1430"/>
        <w:gridCol w:w="1031"/>
        <w:gridCol w:w="1355"/>
      </w:tblGrid>
      <w:tr w:rsidR="00000000" w14:paraId="1D1B600F" w14:textId="77777777">
        <w:trPr>
          <w:divId w:val="200686278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1C205" w14:textId="77777777" w:rsidR="0087429E" w:rsidRDefault="0087429E">
            <w:pPr>
              <w:jc w:val="cente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4D148D" w14:textId="77777777" w:rsidR="0087429E" w:rsidRDefault="0087429E">
            <w:pPr>
              <w:jc w:val="center"/>
              <w:rPr>
                <w:rFonts w:eastAsia="Times New Roman"/>
                <w:b/>
                <w:bCs/>
              </w:rPr>
            </w:pPr>
            <w:r>
              <w:rPr>
                <w:rFonts w:eastAsia="Times New Roman"/>
                <w:b/>
                <w:bCs/>
              </w:rPr>
              <w:t>Operator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A6426" w14:textId="77777777" w:rsidR="0087429E" w:rsidRDefault="0087429E">
            <w:pPr>
              <w:jc w:val="center"/>
              <w:rPr>
                <w:rFonts w:eastAsia="Times New Roman"/>
                <w:b/>
                <w:bCs/>
              </w:rPr>
            </w:pPr>
            <w:r>
              <w:rPr>
                <w:rFonts w:eastAsia="Times New Roman"/>
                <w:b/>
                <w:bCs/>
              </w:rPr>
              <w:t xml:space="preserve">Tekton </w:t>
            </w:r>
            <w:r>
              <w:rPr>
                <w:rFonts w:eastAsia="Times New Roman"/>
                <w:b/>
                <w:bCs/>
              </w:rPr>
              <w:br/>
              <w:t>Taskrun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0FA9F" w14:textId="77777777" w:rsidR="0087429E" w:rsidRDefault="0087429E">
            <w:pPr>
              <w:jc w:val="center"/>
              <w:rPr>
                <w:rFonts w:eastAsia="Times New Roman"/>
                <w:b/>
                <w:bCs/>
              </w:rPr>
            </w:pPr>
            <w:r>
              <w:rPr>
                <w:rFonts w:eastAsia="Times New Roman"/>
                <w:b/>
                <w:bCs/>
              </w:rPr>
              <w:t>Openshift Job</w:t>
            </w:r>
          </w:p>
        </w:tc>
      </w:tr>
      <w:tr w:rsidR="00000000" w14:paraId="460626F7"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0DF10" w14:textId="77777777" w:rsidR="0087429E" w:rsidRDefault="0087429E">
            <w:pPr>
              <w:jc w:val="center"/>
              <w:rPr>
                <w:rFonts w:eastAsia="Times New Roman"/>
                <w:b/>
                <w:bCs/>
              </w:rPr>
            </w:pPr>
            <w:r>
              <w:rPr>
                <w:rFonts w:eastAsia="Times New Roman"/>
                <w:b/>
                <w:bCs/>
              </w:rPr>
              <w:t>Entwicklungsstart ohne CON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A4AD1" w14:textId="77777777" w:rsidR="0087429E" w:rsidRDefault="0087429E">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5243E"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DC4314" w14:textId="77777777" w:rsidR="0087429E" w:rsidRDefault="0087429E">
            <w:pPr>
              <w:rPr>
                <w:rFonts w:eastAsia="Times New Roman"/>
              </w:rPr>
            </w:pPr>
            <w:r>
              <w:rPr>
                <w:rFonts w:eastAsia="Times New Roman"/>
              </w:rPr>
              <w:t>:tick:</w:t>
            </w:r>
          </w:p>
        </w:tc>
      </w:tr>
      <w:tr w:rsidR="00000000" w14:paraId="374ED94E"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19D41" w14:textId="77777777" w:rsidR="0087429E" w:rsidRDefault="0087429E">
            <w:pPr>
              <w:jc w:val="center"/>
              <w:rPr>
                <w:rFonts w:eastAsia="Times New Roman"/>
                <w:b/>
                <w:bCs/>
              </w:rPr>
            </w:pPr>
            <w:r>
              <w:rPr>
                <w:rFonts w:eastAsia="Times New Roman"/>
                <w:b/>
                <w:bCs/>
              </w:rPr>
              <w:t>Rollout über alle Cluster ohne CON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ACA6A"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40B77"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8AE98" w14:textId="77777777" w:rsidR="0087429E" w:rsidRDefault="0087429E">
            <w:pPr>
              <w:rPr>
                <w:rFonts w:eastAsia="Times New Roman"/>
              </w:rPr>
            </w:pPr>
            <w:r>
              <w:rPr>
                <w:rFonts w:eastAsia="Times New Roman"/>
              </w:rPr>
              <w:t>:tick:</w:t>
            </w:r>
          </w:p>
        </w:tc>
      </w:tr>
      <w:tr w:rsidR="00000000" w14:paraId="6E75E915"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3683D" w14:textId="77777777" w:rsidR="0087429E" w:rsidRDefault="0087429E">
            <w:pPr>
              <w:jc w:val="center"/>
              <w:rPr>
                <w:rFonts w:eastAsia="Times New Roman"/>
                <w:b/>
                <w:bCs/>
              </w:rPr>
            </w:pPr>
            <w:r>
              <w:rPr>
                <w:rFonts w:eastAsia="Times New Roman"/>
                <w:b/>
                <w:bCs/>
              </w:rPr>
              <w:t>Namespace spezifisches Rollout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2E360"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98CFA"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22804" w14:textId="77777777" w:rsidR="0087429E" w:rsidRDefault="0087429E">
            <w:pPr>
              <w:rPr>
                <w:rFonts w:eastAsia="Times New Roman"/>
              </w:rPr>
            </w:pPr>
            <w:r>
              <w:rPr>
                <w:rFonts w:eastAsia="Times New Roman"/>
              </w:rPr>
              <w:t>:tick:</w:t>
            </w:r>
          </w:p>
        </w:tc>
      </w:tr>
      <w:tr w:rsidR="00000000" w14:paraId="675B3B1D"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BBD58" w14:textId="77777777" w:rsidR="0087429E" w:rsidRDefault="0087429E">
            <w:pPr>
              <w:jc w:val="center"/>
              <w:rPr>
                <w:rFonts w:eastAsia="Times New Roman"/>
                <w:b/>
                <w:bCs/>
              </w:rPr>
            </w:pPr>
            <w:r>
              <w:rPr>
                <w:rFonts w:eastAsia="Times New Roman"/>
                <w:b/>
                <w:bCs/>
              </w:rPr>
              <w:t>Technologische Expertise ESTA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BB667" w14:textId="77777777" w:rsidR="0087429E" w:rsidRDefault="0087429E">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17AAA"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B9F4F" w14:textId="77777777" w:rsidR="0087429E" w:rsidRDefault="0087429E">
            <w:pPr>
              <w:rPr>
                <w:rFonts w:eastAsia="Times New Roman"/>
              </w:rPr>
            </w:pPr>
            <w:r>
              <w:rPr>
                <w:rFonts w:eastAsia="Times New Roman"/>
              </w:rPr>
              <w:t>:tick:</w:t>
            </w:r>
          </w:p>
        </w:tc>
      </w:tr>
      <w:tr w:rsidR="00000000" w14:paraId="4B7C663C"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7C830" w14:textId="77777777" w:rsidR="0087429E" w:rsidRDefault="0087429E">
            <w:pPr>
              <w:jc w:val="center"/>
              <w:rPr>
                <w:rFonts w:eastAsia="Times New Roman"/>
                <w:b/>
                <w:bCs/>
              </w:rPr>
            </w:pPr>
            <w:r>
              <w:rPr>
                <w:rFonts w:eastAsia="Times New Roman"/>
                <w:b/>
                <w:bCs/>
              </w:rPr>
              <w:t>Expertise SBB / Azure AD, Kafka, APIM 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7BA06" w14:textId="77777777" w:rsidR="0087429E" w:rsidRDefault="0087429E">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830D3" w14:textId="77777777" w:rsidR="0087429E" w:rsidRDefault="0087429E">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5F4C7" w14:textId="77777777" w:rsidR="0087429E" w:rsidRDefault="0087429E">
            <w:pPr>
              <w:rPr>
                <w:rFonts w:eastAsia="Times New Roman"/>
              </w:rPr>
            </w:pPr>
            <w:r>
              <w:rPr>
                <w:rFonts w:eastAsia="Times New Roman"/>
              </w:rPr>
              <w:t>:tick:</w:t>
            </w:r>
          </w:p>
        </w:tc>
      </w:tr>
      <w:tr w:rsidR="00000000" w14:paraId="113E35E2"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AF3DE" w14:textId="77777777" w:rsidR="0087429E" w:rsidRDefault="0087429E">
            <w:pPr>
              <w:jc w:val="center"/>
              <w:rPr>
                <w:rFonts w:eastAsia="Times New Roman"/>
                <w:b/>
                <w:bCs/>
              </w:rPr>
            </w:pPr>
            <w:r>
              <w:rPr>
                <w:rFonts w:eastAsia="Times New Roman"/>
                <w:b/>
                <w:bCs/>
              </w:rPr>
              <w:t>Releases von Helm &amp; Docker in Artifactory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A9750" w14:textId="77777777" w:rsidR="0087429E" w:rsidRDefault="0087429E">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BC814"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79650" w14:textId="77777777" w:rsidR="0087429E" w:rsidRDefault="0087429E">
            <w:pPr>
              <w:rPr>
                <w:rFonts w:eastAsia="Times New Roman"/>
              </w:rPr>
            </w:pPr>
            <w:r>
              <w:rPr>
                <w:rFonts w:eastAsia="Times New Roman"/>
              </w:rPr>
              <w:t>:tick:</w:t>
            </w:r>
          </w:p>
        </w:tc>
      </w:tr>
      <w:tr w:rsidR="00000000" w14:paraId="610BFF98"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5E922" w14:textId="77777777" w:rsidR="0087429E" w:rsidRDefault="0087429E">
            <w:pPr>
              <w:jc w:val="center"/>
              <w:rPr>
                <w:rFonts w:eastAsia="Times New Roman"/>
                <w:b/>
                <w:bCs/>
              </w:rPr>
            </w:pPr>
            <w:r>
              <w:rPr>
                <w:rFonts w:eastAsia="Times New Roman"/>
                <w:b/>
                <w:bCs/>
              </w:rPr>
              <w:t>Existierender Esta-Standard Build&amp;Deployment Prozess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D8282" w14:textId="77777777" w:rsidR="0087429E" w:rsidRDefault="0087429E">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4A82A"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44586" w14:textId="77777777" w:rsidR="0087429E" w:rsidRDefault="0087429E">
            <w:pPr>
              <w:rPr>
                <w:rFonts w:eastAsia="Times New Roman"/>
              </w:rPr>
            </w:pPr>
            <w:r>
              <w:rPr>
                <w:rFonts w:eastAsia="Times New Roman"/>
              </w:rPr>
              <w:t>:tick:</w:t>
            </w:r>
          </w:p>
        </w:tc>
      </w:tr>
      <w:tr w:rsidR="00000000" w14:paraId="3EE9720A"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942DC" w14:textId="77777777" w:rsidR="0087429E" w:rsidRDefault="0087429E">
            <w:pPr>
              <w:jc w:val="center"/>
              <w:rPr>
                <w:rFonts w:eastAsia="Times New Roman"/>
                <w:b/>
                <w:bCs/>
              </w:rPr>
            </w:pPr>
            <w:r>
              <w:rPr>
                <w:rFonts w:eastAsia="Times New Roman"/>
                <w:b/>
                <w:bCs/>
              </w:rPr>
              <w:t>Gitops über Argocd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6C732"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47166"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F44A6" w14:textId="77777777" w:rsidR="0087429E" w:rsidRDefault="0087429E">
            <w:pPr>
              <w:rPr>
                <w:rFonts w:eastAsia="Times New Roman"/>
              </w:rPr>
            </w:pPr>
            <w:r>
              <w:rPr>
                <w:rFonts w:eastAsia="Times New Roman"/>
              </w:rPr>
              <w:t>:tick:</w:t>
            </w:r>
          </w:p>
        </w:tc>
      </w:tr>
      <w:tr w:rsidR="00000000" w14:paraId="7F45B064"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CC64" w14:textId="77777777" w:rsidR="0087429E" w:rsidRDefault="0087429E">
            <w:pPr>
              <w:jc w:val="center"/>
              <w:rPr>
                <w:rFonts w:eastAsia="Times New Roman"/>
                <w:b/>
                <w:bCs/>
              </w:rPr>
            </w:pPr>
            <w:r>
              <w:rPr>
                <w:rFonts w:eastAsia="Times New Roman"/>
                <w:b/>
                <w:bCs/>
              </w:rPr>
              <w:t>Gitops über Argocd &amp; CRD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5DB3D"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894DE" w14:textId="77777777" w:rsidR="0087429E" w:rsidRDefault="0087429E">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3DD19" w14:textId="77777777" w:rsidR="0087429E" w:rsidRDefault="0087429E">
            <w:pPr>
              <w:rPr>
                <w:rFonts w:eastAsia="Times New Roman"/>
              </w:rPr>
            </w:pPr>
            <w:r>
              <w:rPr>
                <w:rFonts w:eastAsia="Times New Roman"/>
              </w:rPr>
              <w:t>:cross:</w:t>
            </w:r>
          </w:p>
        </w:tc>
      </w:tr>
      <w:tr w:rsidR="00000000" w14:paraId="10A0FB8A"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CE1E4" w14:textId="77777777" w:rsidR="0087429E" w:rsidRDefault="0087429E">
            <w:pPr>
              <w:jc w:val="center"/>
              <w:rPr>
                <w:rFonts w:eastAsia="Times New Roman"/>
                <w:b/>
                <w:bCs/>
              </w:rPr>
            </w:pPr>
            <w:r>
              <w:rPr>
                <w:rFonts w:eastAsia="Times New Roman"/>
                <w:b/>
                <w:bCs/>
              </w:rPr>
              <w:t xml:space="preserve">Endprojekt kann/muss verwendete Version selber managen </w:t>
            </w:r>
            <w:r>
              <w:rPr>
                <w:rFonts w:eastAsia="Times New Roman"/>
                <w:b/>
                <w:bCs/>
              </w:rPr>
              <w:br/>
              <w:t>(z.B. per Angabe der Helmchartversion 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2C184" w14:textId="77777777" w:rsidR="0087429E" w:rsidRDefault="0087429E">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6CF0E"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2075B" w14:textId="77777777" w:rsidR="0087429E" w:rsidRDefault="0087429E">
            <w:pPr>
              <w:rPr>
                <w:rFonts w:eastAsia="Times New Roman"/>
              </w:rPr>
            </w:pPr>
            <w:r>
              <w:rPr>
                <w:rFonts w:eastAsia="Times New Roman"/>
              </w:rPr>
              <w:t>:tick:</w:t>
            </w:r>
          </w:p>
        </w:tc>
      </w:tr>
      <w:tr w:rsidR="00000000" w14:paraId="3015D439"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E8992" w14:textId="77777777" w:rsidR="0087429E" w:rsidRDefault="0087429E">
            <w:pPr>
              <w:pStyle w:val="StandardWeb"/>
              <w:jc w:val="center"/>
              <w:rPr>
                <w:b/>
                <w:bCs/>
              </w:rPr>
            </w:pPr>
            <w:r>
              <w:rPr>
                <w:b/>
                <w:bCs/>
              </w:rPr>
              <w:lastRenderedPageBreak/>
              <w:t>Können Breaking Changes bei Logik / Format der Konfiguration gemanaged werden?</w:t>
            </w:r>
          </w:p>
          <w:p w14:paraId="16504E81" w14:textId="77777777" w:rsidR="0087429E" w:rsidRDefault="0087429E">
            <w:pPr>
              <w:pStyle w:val="StandardWeb"/>
              <w:jc w:val="center"/>
              <w:rPr>
                <w:b/>
                <w:bCs/>
              </w:rPr>
            </w:pPr>
            <w:r>
              <w:rPr>
                <w:b/>
                <w:bCs/>
              </w:rPr>
              <w:t xml:space="preserve">Beim Operator müssten im Sourcecode Weichen eingebaut werden, </w:t>
            </w:r>
            <w:r>
              <w:rPr>
                <w:b/>
                <w:bCs/>
              </w:rPr>
              <w:br/>
              <w:t>um Abwärtskompatibilität zu gwährleisten.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061A3" w14:textId="77777777" w:rsidR="0087429E" w:rsidRDefault="0087429E">
            <w:pPr>
              <w:rPr>
                <w:rFonts w:eastAsia="Times New Roman"/>
              </w:rPr>
            </w:pPr>
            <w:r>
              <w:rPr>
                <w:rFonts w:eastAsia="Times New Roman"/>
              </w:rPr>
              <w:t>(:cross:):tick: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E7B96"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80D60" w14:textId="77777777" w:rsidR="0087429E" w:rsidRDefault="0087429E">
            <w:pPr>
              <w:rPr>
                <w:rFonts w:eastAsia="Times New Roman"/>
              </w:rPr>
            </w:pPr>
            <w:r>
              <w:rPr>
                <w:rFonts w:eastAsia="Times New Roman"/>
              </w:rPr>
              <w:t>:tick:</w:t>
            </w:r>
          </w:p>
        </w:tc>
      </w:tr>
      <w:tr w:rsidR="00000000" w14:paraId="48743213"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B58F6" w14:textId="77777777" w:rsidR="0087429E" w:rsidRDefault="0087429E">
            <w:pPr>
              <w:pStyle w:val="StandardWeb"/>
              <w:jc w:val="center"/>
              <w:rPr>
                <w:b/>
                <w:bCs/>
              </w:rPr>
            </w:pPr>
            <w:r>
              <w:rPr>
                <w:b/>
                <w:bCs/>
              </w:rPr>
              <w:t>Kein erhöhtes Risiko für System Wide Failure</w:t>
            </w:r>
          </w:p>
          <w:p w14:paraId="2710AF6F" w14:textId="77777777" w:rsidR="0087429E" w:rsidRDefault="0087429E">
            <w:pPr>
              <w:pStyle w:val="StandardWeb"/>
              <w:jc w:val="center"/>
              <w:rPr>
                <w:b/>
                <w:bCs/>
              </w:rPr>
            </w:pPr>
            <w:r>
              <w:rPr>
                <w:b/>
                <w:bCs/>
              </w:rPr>
              <w:t xml:space="preserve">(Bsp Tekton Namespace Operator -&gt; </w:t>
            </w:r>
            <w:r>
              <w:rPr>
                <w:b/>
                <w:bCs/>
              </w:rPr>
              <w:br/>
              <w:t>Secrets Voiding in allen Tekton Namespaces)</w:t>
            </w:r>
            <w:r>
              <w:rPr>
                <w:b/>
                <w:bCs/>
              </w:rPr>
              <w:br/>
            </w:r>
            <w:r>
              <w:rPr>
                <w:b/>
                <w:bCs/>
              </w:rPr>
              <w:t xml:space="preserve">Ein Bug im Operator kann alle Instanzen auf einmal zerstören. </w:t>
            </w:r>
            <w:r>
              <w:rPr>
                <w:b/>
                <w:bCs/>
              </w:rPr>
              <w:br/>
              <w:t>Bei einem Job oder Pipelinerun release, betrifft es nicht alle auf einmal.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6F58A"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67C28"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6003F" w14:textId="77777777" w:rsidR="0087429E" w:rsidRDefault="0087429E">
            <w:pPr>
              <w:rPr>
                <w:rFonts w:eastAsia="Times New Roman"/>
              </w:rPr>
            </w:pPr>
            <w:r>
              <w:rPr>
                <w:rFonts w:eastAsia="Times New Roman"/>
              </w:rPr>
              <w:t>:tick:</w:t>
            </w:r>
          </w:p>
        </w:tc>
      </w:tr>
      <w:tr w:rsidR="00000000" w14:paraId="50E5BEFB"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1DDCB" w14:textId="77777777" w:rsidR="0087429E" w:rsidRDefault="0087429E">
            <w:pPr>
              <w:jc w:val="center"/>
              <w:rPr>
                <w:rFonts w:eastAsia="Times New Roman"/>
                <w:b/>
                <w:bCs/>
              </w:rPr>
            </w:pPr>
            <w:r>
              <w:rPr>
                <w:rFonts w:eastAsia="Times New Roman"/>
                <w:b/>
                <w:bCs/>
              </w:rPr>
              <w:t xml:space="preserve">Fehlerhandling des Job-/Operators (Logs) wenn z.B. </w:t>
            </w:r>
            <w:r>
              <w:rPr>
                <w:rFonts w:eastAsia="Times New Roman"/>
                <w:b/>
                <w:bCs/>
              </w:rPr>
              <w:br/>
              <w:t xml:space="preserve">eine appRegistration nicht applied werden konnte </w:t>
            </w:r>
            <w:r>
              <w:rPr>
                <w:rFonts w:eastAsia="Times New Roman"/>
                <w:b/>
                <w:bCs/>
              </w:rPr>
              <w:br/>
              <w:t>(Im Operatorfall als Annotation auf ConfigMap oder Status in der CRD)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674E3"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EEE86"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15E27" w14:textId="77777777" w:rsidR="0087429E" w:rsidRDefault="0087429E">
            <w:pPr>
              <w:rPr>
                <w:rFonts w:eastAsia="Times New Roman"/>
              </w:rPr>
            </w:pPr>
            <w:r>
              <w:rPr>
                <w:rFonts w:eastAsia="Times New Roman"/>
              </w:rPr>
              <w:t>:tick:</w:t>
            </w:r>
          </w:p>
        </w:tc>
      </w:tr>
      <w:tr w:rsidR="00000000" w14:paraId="6AB71C1A" w14:textId="77777777">
        <w:trPr>
          <w:divId w:val="2006862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C8199" w14:textId="77777777" w:rsidR="0087429E" w:rsidRDefault="0087429E">
            <w:pPr>
              <w:jc w:val="center"/>
              <w:rPr>
                <w:rFonts w:eastAsia="Times New Roman"/>
                <w:b/>
                <w:bCs/>
              </w:rPr>
            </w:pPr>
            <w:r>
              <w:rPr>
                <w:rFonts w:eastAsia="Times New Roman"/>
                <w:b/>
                <w:bCs/>
              </w:rPr>
              <w:t>Vorgesehen für Funktionalität um Modifikationen ausserhalb des Clusters durchzuführen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478F6"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15FEA" w14:textId="77777777" w:rsidR="0087429E" w:rsidRDefault="0087429E">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97916" w14:textId="77777777" w:rsidR="0087429E" w:rsidRDefault="0087429E">
            <w:pPr>
              <w:rPr>
                <w:rFonts w:eastAsia="Times New Roman"/>
              </w:rPr>
            </w:pPr>
            <w:r>
              <w:rPr>
                <w:rFonts w:eastAsia="Times New Roman"/>
              </w:rPr>
              <w:t>:tick:</w:t>
            </w:r>
          </w:p>
        </w:tc>
      </w:tr>
    </w:tbl>
    <w:p w14:paraId="0DBE0CDB" w14:textId="77777777" w:rsidR="0087429E" w:rsidRDefault="0087429E">
      <w:pPr>
        <w:pStyle w:val="auto-cursor-target"/>
      </w:pPr>
      <w:r>
        <w:rPr>
          <w:noProof/>
        </w:rPr>
        <w:drawing>
          <wp:inline distT="0" distB="0" distL="0" distR="0" wp14:anchorId="4124A99B" wp14:editId="143191FD">
            <wp:extent cx="4457700" cy="3329940"/>
            <wp:effectExtent l="0" t="0" r="0" b="381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7700" cy="3329940"/>
                    </a:xfrm>
                    <a:prstGeom prst="rect">
                      <a:avLst/>
                    </a:prstGeom>
                    <a:noFill/>
                    <a:ln>
                      <a:noFill/>
                    </a:ln>
                  </pic:spPr>
                </pic:pic>
              </a:graphicData>
            </a:graphic>
          </wp:inline>
        </w:drawing>
      </w:r>
    </w:p>
    <w:p w14:paraId="4EFFE741" w14:textId="77777777" w:rsidR="0087429E" w:rsidRDefault="0087429E">
      <w:pPr>
        <w:pStyle w:val="auto-cursor-target"/>
      </w:pPr>
      <w:r>
        <w:rPr>
          <w:noProof/>
        </w:rPr>
        <w:lastRenderedPageBreak/>
        <w:drawing>
          <wp:inline distT="0" distB="0" distL="0" distR="0" wp14:anchorId="1FC79793" wp14:editId="682FFE09">
            <wp:extent cx="4457700" cy="320802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7700" cy="3208020"/>
                    </a:xfrm>
                    <a:prstGeom prst="rect">
                      <a:avLst/>
                    </a:prstGeom>
                    <a:noFill/>
                    <a:ln>
                      <a:noFill/>
                    </a:ln>
                  </pic:spPr>
                </pic:pic>
              </a:graphicData>
            </a:graphic>
          </wp:inline>
        </w:drawing>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71ECB"/>
    <w:multiLevelType w:val="multilevel"/>
    <w:tmpl w:val="04940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67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429E"/>
    <w:rsid w:val="008742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2D988"/>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customStyle="1" w:styleId="auto-cursor-target">
    <w:name w:val="auto-cursor-target"/>
    <w:basedOn w:val="Standard"/>
    <w:pPr>
      <w:spacing w:before="100" w:beforeAutospacing="1" w:after="100" w:afterAutospacing="1"/>
    </w:pPr>
  </w:style>
  <w:style w:type="character" w:customStyle="1" w:styleId="jira-issue">
    <w:name w:val="jira-issue"/>
    <w:basedOn w:val="Absatz-Standardschriftart"/>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summary">
    <w:name w:val="summary"/>
    <w:basedOn w:val="Absatz-Standardschriftart"/>
  </w:style>
  <w:style w:type="character" w:customStyle="1" w:styleId="aui-lozenge">
    <w:name w:val="aui-lozenge"/>
    <w:basedOn w:val="Absatz-Standardschriftart"/>
  </w:style>
  <w:style w:type="paragraph" w:styleId="StandardWeb">
    <w:name w:val="Normal (Web)"/>
    <w:basedOn w:val="Standard"/>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86278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u231154" TargetMode="External"/><Relationship Id="rId13" Type="http://schemas.openxmlformats.org/officeDocument/2006/relationships/hyperlink" Target="https://flow.sbb.ch/browse/ESTA-5242" TargetMode="External"/><Relationship Id="rId3" Type="http://schemas.openxmlformats.org/officeDocument/2006/relationships/settings" Target="settings.xml"/><Relationship Id="rId7" Type="http://schemas.openxmlformats.org/officeDocument/2006/relationships/hyperlink" Target="file:///C:\display\~u228304" TargetMode="External"/><Relationship Id="rId12" Type="http://schemas.openxmlformats.org/officeDocument/2006/relationships/hyperlink" Target="file:///C:\display\~ue640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flow.sbb.ch/images/icons/issuetypes/story.svg" TargetMode="External"/><Relationship Id="rId11" Type="http://schemas.openxmlformats.org/officeDocument/2006/relationships/hyperlink" Target="file:///C:\display\~u233586" TargetMode="External"/><Relationship Id="rId5" Type="http://schemas.openxmlformats.org/officeDocument/2006/relationships/hyperlink" Target="https://flow.sbb.ch/browse/ESTA-5242" TargetMode="External"/><Relationship Id="rId15" Type="http://schemas.openxmlformats.org/officeDocument/2006/relationships/image" Target="media/image2.png"/><Relationship Id="rId10" Type="http://schemas.openxmlformats.org/officeDocument/2006/relationships/hyperlink" Target="file:///C:\display\~u210691" TargetMode="External"/><Relationship Id="rId4" Type="http://schemas.openxmlformats.org/officeDocument/2006/relationships/webSettings" Target="webSettings.xml"/><Relationship Id="rId9" Type="http://schemas.openxmlformats.org/officeDocument/2006/relationships/hyperlink" Target="file:///C:\display\~u233658"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2308</Characters>
  <Application>Microsoft Office Word</Application>
  <DocSecurity>0</DocSecurity>
  <Lines>19</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Esta-Tekton AzureAd-, APIM-, Kafka-Registration Prototyp - Technologieauswahl</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