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embeddings/oleObject1.bin" ContentType="application/vnd.openxmlformats-officedocument.oleObject"/>
  <Override PartName="/word/media/image8.jpeg" ContentType="image/jpeg"/>
  <Override PartName="/word/media/image7.jpeg" ContentType="image/jpeg"/>
  <Override PartName="/word/media/image5.png" ContentType="image/png"/>
  <Override PartName="/word/media/image4.png" ContentType="image/png"/>
  <Override PartName="/word/media/image3.png" ContentType="image/png"/>
  <Override PartName="/word/media/image2.emf" ContentType="image/x-emf"/>
  <Override PartName="/word/media/image6.png" ContentType="image/png"/>
  <Override PartName="/word/media/image1.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b/>
          <w:sz w:val="28"/>
          <w:b/>
        </w:rPr>
      </w:pPr>
      <w:r>
        <w:rPr>
          <w:rFonts w:ascii="Times New Roman" w:hAnsi="Times New Roman"/>
          <w:b/>
          <w:sz w:val="28"/>
        </w:rPr>
        <w:t>Laboratorijas darbs Nr.2.</w:t>
      </w:r>
      <w:r/>
    </w:p>
    <w:p>
      <w:pPr>
        <w:pStyle w:val="Normal"/>
        <w:jc w:val="both"/>
        <w:rPr>
          <w:sz w:val="28"/>
          <w:b/>
          <w:sz w:val="28"/>
          <w:b/>
          <w:szCs w:val="22"/>
          <w:rFonts w:ascii="Times New Roman" w:hAnsi="Times New Roman" w:eastAsia="Calibri" w:cs="" w:cstheme="minorBidi" w:eastAsiaTheme="minorHAnsi"/>
          <w:color w:val="00000A"/>
          <w:lang w:val="lv-LV" w:eastAsia="en-US" w:bidi="ar-SA"/>
        </w:rPr>
      </w:pPr>
      <w:r>
        <w:rPr>
          <w:rFonts w:eastAsia="Calibri" w:cs="" w:cstheme="minorBidi" w:eastAsiaTheme="minorHAnsi" w:ascii="Times New Roman" w:hAnsi="Times New Roman"/>
          <w:b/>
          <w:color w:val="00000A"/>
          <w:sz w:val="28"/>
          <w:szCs w:val="22"/>
          <w:lang w:val="lv-LV" w:eastAsia="en-US" w:bidi="ar-SA"/>
        </w:rPr>
      </w:r>
      <w:r/>
    </w:p>
    <w:p>
      <w:pPr>
        <w:pStyle w:val="Normal"/>
        <w:ind w:firstLine="720"/>
        <w:jc w:val="both"/>
        <w:rPr>
          <w:b/>
          <w:b/>
        </w:rPr>
      </w:pPr>
      <w:r>
        <w:rPr>
          <w:rFonts w:ascii="Times New Roman" w:hAnsi="Times New Roman"/>
          <w:b/>
          <w:sz w:val="28"/>
          <w:szCs w:val="28"/>
        </w:rPr>
        <w:t xml:space="preserve">Darba uzdevums: </w:t>
      </w:r>
      <w:r/>
    </w:p>
    <w:p>
      <w:pPr>
        <w:pStyle w:val="Normal"/>
        <w:ind w:firstLine="720"/>
        <w:jc w:val="both"/>
      </w:pPr>
      <w:r>
        <w:rPr>
          <w:rFonts w:ascii="Times New Roman" w:hAnsi="Times New Roman"/>
          <w:sz w:val="24"/>
          <w:szCs w:val="24"/>
        </w:rPr>
        <w:t>Sintezēt pasniedzēja norādīto signālu, izmantojot Volša(Walsh) funkcijas</w:t>
      </w:r>
      <w:r/>
    </w:p>
    <w:p>
      <w:pPr>
        <w:pStyle w:val="Normal"/>
        <w:ind w:firstLine="720"/>
        <w:jc w:val="both"/>
      </w:pPr>
      <w:r>
        <w:rPr/>
        <w:drawing>
          <wp:inline distT="0" distB="0" distL="0" distR="0">
            <wp:extent cx="5274310" cy="395541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274310" cy="3955415"/>
                    </a:xfrm>
                    <a:prstGeom prst="rect">
                      <a:avLst/>
                    </a:prstGeom>
                    <a:noFill/>
                    <a:ln w="9525">
                      <a:noFill/>
                      <a:miter lim="800000"/>
                      <a:headEnd/>
                      <a:tailEnd/>
                    </a:ln>
                  </pic:spPr>
                </pic:pic>
              </a:graphicData>
            </a:graphic>
          </wp:inline>
        </w:drawing>
      </w:r>
      <w:r/>
    </w:p>
    <w:p>
      <w:pPr>
        <w:pStyle w:val="Normal"/>
        <w:ind w:firstLine="720"/>
        <w:jc w:val="center"/>
      </w:pPr>
      <w:r>
        <w:rPr>
          <w:rFonts w:ascii="Times New Roman" w:hAnsi="Times New Roman"/>
        </w:rPr>
        <w:tab/>
      </w:r>
      <w:r>
        <w:rPr>
          <w:rFonts w:ascii="Times New Roman" w:hAnsi="Times New Roman"/>
          <w:sz w:val="24"/>
        </w:rPr>
        <w:t>Att.2.1. Iegūstamais signāls.</w:t>
      </w:r>
      <w:r/>
    </w:p>
    <w:p>
      <w:pPr>
        <w:pStyle w:val="Normal"/>
        <w:ind w:firstLine="720"/>
        <w:jc w:val="both"/>
        <w:rPr>
          <w:sz w:val="24"/>
          <w:b/>
          <w:sz w:val="24"/>
          <w:b/>
        </w:rPr>
      </w:pPr>
      <w:r>
        <w:rPr>
          <w:rFonts w:ascii="Times New Roman" w:hAnsi="Times New Roman"/>
          <w:b/>
          <w:sz w:val="28"/>
          <w:szCs w:val="28"/>
        </w:rPr>
        <w:t xml:space="preserve">Teorētiskais pamatojums: </w:t>
      </w:r>
      <w:r/>
    </w:p>
    <w:p>
      <w:pPr>
        <w:pStyle w:val="MTDisplayEquation"/>
        <w:ind w:firstLine="709"/>
      </w:pPr>
      <w:r>
        <w:rPr>
          <w:rFonts w:ascii="Times New Roman" w:hAnsi="Times New Roman"/>
          <w:sz w:val="24"/>
          <w:szCs w:val="24"/>
        </w:rPr>
        <w:t>Katru signālu vispārīgi var aprakstīt kā Volša funkciju svērtu summu.</w:t>
      </w:r>
      <w:r>
        <w:rPr>
          <w:rFonts w:ascii="Times New Roman" w:hAnsi="Times New Roman"/>
        </w:rPr>
        <w:t xml:space="preserve"> </w:t>
      </w:r>
      <w:r/>
    </w:p>
    <w:p>
      <w:pPr>
        <w:pStyle w:val="MTDisplayEquation"/>
        <w:jc w:val="center"/>
      </w:pPr>
      <w:r>
        <w:rPr/>
        <w:object>
          <v:shape id="ole_rId3" style="width:120pt;height:33.75pt" o:ole="">
            <v:imagedata r:id="rId4" o:title=""/>
          </v:shape>
          <o:OLEObject Type="Embed" ProgID="Equation.DSMT4" ShapeID="ole_rId3" DrawAspect="Content" ObjectID="_827592940" r:id="rId3"/>
        </w:object>
      </w:r>
      <w:r/>
    </w:p>
    <w:p>
      <w:pPr>
        <w:pStyle w:val="Normal"/>
        <w:ind w:firstLine="720"/>
        <w:jc w:val="both"/>
      </w:pPr>
      <w:r>
        <w:rPr>
          <w:rFonts w:ascii="Times New Roman" w:hAnsi="Times New Roman"/>
          <w:sz w:val="24"/>
        </w:rPr>
        <w:t>Koeficientu a</w:t>
      </w:r>
      <w:r>
        <w:rPr>
          <w:rFonts w:ascii="Times New Roman" w:hAnsi="Times New Roman"/>
          <w:sz w:val="24"/>
          <w:vertAlign w:val="subscript"/>
        </w:rPr>
        <w:t>k</w:t>
      </w:r>
      <w:r>
        <w:rPr>
          <w:rFonts w:ascii="Times New Roman" w:hAnsi="Times New Roman"/>
          <w:sz w:val="24"/>
        </w:rPr>
        <w:t xml:space="preserve"> skaitliskai atrašanai ērti izmantot ātrās Volša-Adamāra(Hadamard) transformācijas (FWHT) algoritmu. FWHT principa grafisks attēlojums 8 dotajām nolasēm parādīts zemāk redzamajā attēla:</w:t>
      </w:r>
      <w:r/>
    </w:p>
    <w:p>
      <w:pPr>
        <w:pStyle w:val="Normal"/>
        <w:jc w:val="center"/>
        <w:rPr>
          <w:sz w:val="24"/>
          <w:sz w:val="24"/>
        </w:rPr>
      </w:pPr>
      <w:r>
        <w:rPr/>
        <w:drawing>
          <wp:inline distT="0" distB="0" distL="0" distR="0">
            <wp:extent cx="4374515" cy="437451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4374515" cy="4374515"/>
                    </a:xfrm>
                    <a:prstGeom prst="rect">
                      <a:avLst/>
                    </a:prstGeom>
                    <a:noFill/>
                    <a:ln w="9525">
                      <a:noFill/>
                      <a:miter lim="800000"/>
                      <a:headEnd/>
                      <a:tailEnd/>
                    </a:ln>
                  </pic:spPr>
                </pic:pic>
              </a:graphicData>
            </a:graphic>
          </wp:inline>
        </w:drawing>
      </w:r>
      <w:r/>
    </w:p>
    <w:p>
      <w:pPr>
        <w:pStyle w:val="Normal"/>
        <w:spacing w:lineRule="auto" w:line="240" w:before="0" w:after="0"/>
        <w:jc w:val="center"/>
      </w:pPr>
      <w:r>
        <w:rPr>
          <w:rFonts w:ascii="Times New Roman" w:hAnsi="Times New Roman"/>
          <w:b w:val="false"/>
          <w:i w:val="false"/>
          <w:caps w:val="false"/>
          <w:smallCaps w:val="false"/>
          <w:color w:val="333333"/>
          <w:spacing w:val="0"/>
          <w:sz w:val="18"/>
          <w:szCs w:val="18"/>
        </w:rPr>
        <w:t>“</w:t>
      </w:r>
      <w:r>
        <w:fldChar w:fldCharType="begin"/>
      </w:r>
      <w:r>
        <w:instrText> HYPERLINK "http://en.wikipedia.org/wiki/Fast_Walsh–Hadamard_transform" \l "mediaviewer/File:Fast_walsh_hadamard_transform_8.svg"</w:instrText>
      </w:r>
      <w:r>
        <w:fldChar w:fldCharType="separate"/>
      </w:r>
      <w:r>
        <w:rPr>
          <w:rStyle w:val="InternetLink"/>
          <w:rFonts w:ascii="Times New Roman" w:hAnsi="Times New Roman"/>
          <w:b w:val="false"/>
          <w:i w:val="false"/>
          <w:caps w:val="false"/>
          <w:smallCaps w:val="false"/>
          <w:color w:val="333333"/>
          <w:spacing w:val="0"/>
          <w:sz w:val="18"/>
          <w:szCs w:val="18"/>
        </w:rPr>
        <w:t>The fast Walsh–Hadamard transform applied to a vector of length 8</w:t>
      </w:r>
      <w:r>
        <w:fldChar w:fldCharType="end"/>
      </w:r>
      <w:r>
        <w:rPr>
          <w:rFonts w:ascii="Times New Roman" w:hAnsi="Times New Roman"/>
          <w:b w:val="false"/>
          <w:i w:val="false"/>
          <w:caps w:val="false"/>
          <w:smallCaps w:val="false"/>
          <w:color w:val="333333"/>
          <w:spacing w:val="0"/>
          <w:sz w:val="18"/>
          <w:szCs w:val="18"/>
        </w:rPr>
        <w:t xml:space="preserve">”, </w:t>
      </w:r>
      <w:r/>
    </w:p>
    <w:p>
      <w:pPr>
        <w:pStyle w:val="Normal"/>
        <w:spacing w:lineRule="auto" w:line="240" w:before="0" w:after="0"/>
        <w:jc w:val="center"/>
      </w:pPr>
      <w:r>
        <w:rPr>
          <w:rFonts w:ascii="Times New Roman" w:hAnsi="Times New Roman"/>
          <w:b w:val="false"/>
          <w:i w:val="false"/>
          <w:caps w:val="false"/>
          <w:smallCaps w:val="false"/>
          <w:color w:val="333333"/>
          <w:spacing w:val="0"/>
          <w:sz w:val="18"/>
          <w:szCs w:val="18"/>
        </w:rPr>
        <w:t xml:space="preserve">autors: </w:t>
      </w:r>
      <w:hyperlink r:id="rId6">
        <w:r>
          <w:rPr>
            <w:rStyle w:val="InternetLink"/>
            <w:rFonts w:ascii="Times New Roman" w:hAnsi="Times New Roman"/>
            <w:b w:val="false"/>
            <w:i w:val="false"/>
            <w:caps w:val="false"/>
            <w:smallCaps w:val="false"/>
            <w:color w:val="333333"/>
            <w:spacing w:val="0"/>
            <w:sz w:val="18"/>
            <w:szCs w:val="18"/>
          </w:rPr>
          <w:t>Timato</w:t>
        </w:r>
      </w:hyperlink>
      <w:r>
        <w:rPr>
          <w:rFonts w:ascii="Times New Roman" w:hAnsi="Times New Roman"/>
          <w:b w:val="false"/>
          <w:i w:val="false"/>
          <w:caps w:val="false"/>
          <w:smallCaps w:val="false"/>
          <w:color w:val="333333"/>
          <w:spacing w:val="0"/>
          <w:sz w:val="18"/>
          <w:szCs w:val="18"/>
        </w:rPr>
        <w:t xml:space="preserve">, licenzēts ar </w:t>
      </w:r>
      <w:hyperlink r:id="rId7">
        <w:r>
          <w:rPr>
            <w:rStyle w:val="InternetLink"/>
            <w:rFonts w:ascii="Times New Roman" w:hAnsi="Times New Roman"/>
            <w:b w:val="false"/>
            <w:i w:val="false"/>
            <w:caps w:val="false"/>
            <w:smallCaps w:val="false"/>
            <w:strike w:val="false"/>
            <w:dstrike w:val="false"/>
            <w:color w:val="663366"/>
            <w:spacing w:val="0"/>
            <w:sz w:val="18"/>
            <w:szCs w:val="18"/>
            <w:u w:val="none"/>
            <w:effect w:val="none"/>
          </w:rPr>
          <w:t>CC BY 2.0</w:t>
        </w:r>
      </w:hyperlink>
      <w:r>
        <w:rPr>
          <w:rFonts w:ascii="Times New Roman" w:hAnsi="Times New Roman"/>
          <w:b w:val="false"/>
          <w:i w:val="false"/>
          <w:caps w:val="false"/>
          <w:smallCaps w:val="false"/>
          <w:strike w:val="false"/>
          <w:dstrike w:val="false"/>
          <w:color w:val="663366"/>
          <w:spacing w:val="0"/>
          <w:sz w:val="18"/>
          <w:szCs w:val="18"/>
          <w:u w:val="none"/>
          <w:effect w:val="none"/>
        </w:rPr>
        <w:t>.</w:t>
      </w:r>
      <w:r/>
    </w:p>
    <w:p>
      <w:pPr>
        <w:pStyle w:val="Normal"/>
        <w:spacing w:lineRule="auto" w:line="240" w:before="0" w:after="0"/>
        <w:jc w:val="center"/>
      </w:pPr>
      <w:r>
        <w:rPr>
          <w:rFonts w:ascii="Times New Roman" w:hAnsi="Times New Roman"/>
          <w:sz w:val="24"/>
        </w:rPr>
        <w:t>Att.2.2. FWHT piemērots dotajam signālam.</w:t>
      </w:r>
      <w:r/>
    </w:p>
    <w:p>
      <w:pPr>
        <w:pStyle w:val="Normal"/>
        <w:spacing w:lineRule="auto" w:line="240" w:before="0" w:after="0"/>
        <w:jc w:val="center"/>
        <w:rPr>
          <w:sz w:val="24"/>
          <w:sz w:val="24"/>
          <w:szCs w:val="22"/>
          <w:rFonts w:ascii="Times New Roman" w:hAnsi="Times New Roman" w:eastAsia="Calibri" w:cs="" w:cstheme="minorBidi" w:eastAsiaTheme="minorHAnsi"/>
          <w:color w:val="00000A"/>
          <w:lang w:val="lv-LV" w:eastAsia="en-US" w:bidi="ar-SA"/>
        </w:rPr>
      </w:pPr>
      <w:bookmarkStart w:id="0" w:name="_GoBack"/>
      <w:bookmarkStart w:id="1" w:name="_GoBack"/>
      <w:bookmarkEnd w:id="1"/>
      <w:r>
        <w:rPr>
          <w:rFonts w:eastAsia="Calibri" w:cs="" w:cstheme="minorBidi" w:eastAsiaTheme="minorHAnsi" w:ascii="Times New Roman" w:hAnsi="Times New Roman"/>
          <w:color w:val="00000A"/>
          <w:sz w:val="24"/>
          <w:szCs w:val="22"/>
          <w:lang w:val="lv-LV" w:eastAsia="en-US" w:bidi="ar-SA"/>
        </w:rPr>
      </w:r>
      <w:r/>
    </w:p>
    <w:p>
      <w:pPr>
        <w:pStyle w:val="Normal"/>
        <w:ind w:firstLine="567"/>
        <w:rPr>
          <w:sz w:val="24"/>
          <w:b/>
          <w:sz w:val="24"/>
          <w:b/>
        </w:rPr>
      </w:pPr>
      <w:r>
        <w:rPr>
          <w:rFonts w:ascii="Times New Roman" w:hAnsi="Times New Roman"/>
          <w:sz w:val="24"/>
        </w:rPr>
        <w:t xml:space="preserve">Veicot koeficientu normēšanu iegūst, ka dotā signāla spektrs Adamāra sakārtojumā ir </w:t>
      </w:r>
      <w:r>
        <w:rPr>
          <w:rFonts w:ascii="Times New Roman" w:hAnsi="Times New Roman"/>
          <w:b/>
          <w:sz w:val="24"/>
        </w:rPr>
        <w:t>a</w:t>
      </w:r>
      <w:r>
        <w:rPr>
          <w:rFonts w:ascii="Times New Roman" w:hAnsi="Times New Roman"/>
          <w:b/>
          <w:sz w:val="24"/>
          <w:vertAlign w:val="subscript"/>
        </w:rPr>
        <w:t>kH</w:t>
      </w:r>
      <w:r>
        <w:rPr>
          <w:rFonts w:ascii="Times New Roman" w:hAnsi="Times New Roman"/>
          <w:b/>
          <w:sz w:val="24"/>
        </w:rPr>
        <w:t xml:space="preserve"> = [ 0;  -1;  1,5;  0;  2;  0;  0;  0,5].</w:t>
      </w:r>
      <w:r/>
    </w:p>
    <w:p>
      <w:pPr>
        <w:pStyle w:val="Normal"/>
        <w:ind w:firstLine="720"/>
        <w:jc w:val="both"/>
        <w:rPr>
          <w:sz w:val="24"/>
          <w:sz w:val="24"/>
        </w:rPr>
      </w:pPr>
      <w:r>
        <w:rPr>
          <w:rFonts w:ascii="Times New Roman" w:hAnsi="Times New Roman"/>
          <w:sz w:val="24"/>
        </w:rPr>
        <w:t xml:space="preserve">Lai iegūtu koeficientus Volša sakārtojumam, Adamāra sakārtojuma koeficienti ir jāpārkārto. Pārkārtošana notiek pēc zināma algoritma, kas Adamāra  matricu pārkārto tā, lai zīmes maiņu skaits kolonnās un rindās būtu augošā secībā. </w:t>
      </w:r>
      <w:r/>
    </w:p>
    <w:p>
      <w:pPr>
        <w:pStyle w:val="Normal"/>
        <w:ind w:firstLine="720"/>
        <w:jc w:val="both"/>
        <w:rPr>
          <w:sz w:val="24"/>
          <w:b/>
          <w:sz w:val="24"/>
          <w:b/>
        </w:rPr>
      </w:pPr>
      <w:r>
        <w:rPr>
          <w:rFonts w:ascii="Times New Roman" w:hAnsi="Times New Roman"/>
          <w:sz w:val="24"/>
        </w:rPr>
        <w:t xml:space="preserve">Veicot koeficientu pārkārtošanu atbilstoši Volša sakārtojumam, iegūst sekojošu koeficientu matricu: </w:t>
      </w:r>
      <w:r>
        <w:rPr>
          <w:rFonts w:ascii="Times New Roman" w:hAnsi="Times New Roman"/>
          <w:b/>
          <w:sz w:val="24"/>
        </w:rPr>
        <w:t>a</w:t>
      </w:r>
      <w:r>
        <w:rPr>
          <w:rFonts w:ascii="Times New Roman" w:hAnsi="Times New Roman"/>
          <w:b/>
          <w:sz w:val="24"/>
          <w:vertAlign w:val="subscript"/>
        </w:rPr>
        <w:t xml:space="preserve">kW </w:t>
      </w:r>
      <w:r>
        <w:rPr>
          <w:rFonts w:ascii="Times New Roman" w:hAnsi="Times New Roman"/>
          <w:b/>
          <w:sz w:val="24"/>
        </w:rPr>
        <w:t>=  [0;  2;  0;  -1,5;  0;  0,5;  0;  -1].</w:t>
      </w:r>
      <w:r/>
    </w:p>
    <w:p>
      <w:pPr>
        <w:pStyle w:val="Normal"/>
        <w:rPr>
          <w:sz w:val="22"/>
          <w:sz w:val="22"/>
          <w:szCs w:val="22"/>
          <w:rFonts w:ascii="Times New Roman" w:hAnsi="Times New Roman" w:eastAsia="Calibri" w:cs="" w:cstheme="minorBidi" w:eastAsiaTheme="minorHAnsi"/>
          <w:color w:val="00000A"/>
          <w:lang w:val="lv-LV" w:eastAsia="en-US" w:bidi="ar-SA"/>
        </w:rPr>
      </w:pPr>
      <w:r>
        <w:rPr>
          <w:rFonts w:eastAsia="Calibri" w:cs="" w:cstheme="minorBidi" w:eastAsiaTheme="minorHAnsi" w:ascii="Times New Roman" w:hAnsi="Times New Roman"/>
          <w:color w:val="00000A"/>
          <w:sz w:val="22"/>
          <w:szCs w:val="22"/>
          <w:lang w:val="lv-LV" w:eastAsia="en-US" w:bidi="ar-SA"/>
        </w:rPr>
      </w:r>
      <w:r>
        <w:br w:type="page"/>
      </w:r>
      <w:r/>
    </w:p>
    <w:p>
      <w:pPr>
        <w:pStyle w:val="Normal"/>
        <w:ind w:firstLine="720"/>
        <w:jc w:val="both"/>
      </w:pPr>
      <w:bookmarkStart w:id="2" w:name="__DdeLink__109_1362164197"/>
      <w:bookmarkEnd w:id="2"/>
      <w:r>
        <w:rPr>
          <w:rFonts w:ascii="Times New Roman" w:hAnsi="Times New Roman"/>
          <w:b/>
          <w:sz w:val="28"/>
          <w:szCs w:val="28"/>
        </w:rPr>
        <w:t>Volša spektra analizatora izveide:</w:t>
      </w:r>
      <w:r/>
    </w:p>
    <w:p>
      <w:pPr>
        <w:pStyle w:val="Normal"/>
        <w:spacing w:before="0" w:after="0"/>
        <w:ind w:hanging="0"/>
        <w:jc w:val="both"/>
      </w:pPr>
      <w:r>
        <w:rPr>
          <w:rFonts w:ascii="Times New Roman" w:hAnsi="Times New Roman"/>
          <w:b w:val="false"/>
          <w:bCs w:val="false"/>
          <w:sz w:val="24"/>
        </w:rPr>
        <w:tab/>
        <w:t>Ņemot vērā pasniedzēja ierosinājumu, tika izstrādāts signāla spektra analizators uz Volša funkciju bāzes.</w:t>
      </w:r>
      <w:r/>
    </w:p>
    <w:p>
      <w:pPr>
        <w:pStyle w:val="Normal"/>
        <w:spacing w:before="0" w:after="0"/>
        <w:ind w:hanging="0"/>
        <w:jc w:val="both"/>
      </w:pPr>
      <w:r>
        <w:rPr>
          <w:rFonts w:ascii="Times New Roman" w:hAnsi="Times New Roman"/>
          <w:b w:val="false"/>
          <w:bCs w:val="false"/>
          <w:sz w:val="24"/>
        </w:rPr>
        <w:tab/>
        <w:t>Iesākumā tika izveidots universāls dzinis, ar ko veikt FWHT veselu skaitļu masīvam, kura garums ir 2</w:t>
      </w:r>
      <w:r>
        <w:rPr>
          <w:rFonts w:ascii="Times New Roman" w:hAnsi="Times New Roman"/>
          <w:b w:val="false"/>
          <w:bCs w:val="false"/>
          <w:sz w:val="24"/>
          <w:vertAlign w:val="superscript"/>
        </w:rPr>
        <w:t>n</w:t>
      </w:r>
      <w:r>
        <w:rPr>
          <w:rFonts w:ascii="Times New Roman" w:hAnsi="Times New Roman"/>
          <w:b w:val="false"/>
          <w:bCs w:val="false"/>
          <w:position w:val="0"/>
          <w:sz w:val="24"/>
          <w:sz w:val="24"/>
          <w:vertAlign w:val="baseline"/>
        </w:rPr>
        <w:t>. Dzinis sastāv no sekojošām funkcijām:</w:t>
      </w:r>
      <w:r/>
    </w:p>
    <w:p>
      <w:pPr>
        <w:pStyle w:val="Normal"/>
        <w:numPr>
          <w:ilvl w:val="0"/>
          <w:numId w:val="1"/>
        </w:numPr>
        <w:spacing w:lineRule="auto" w:line="240" w:before="0" w:after="86"/>
        <w:contextualSpacing/>
        <w:jc w:val="both"/>
      </w:pPr>
      <w:r>
        <w:rPr>
          <w:rFonts w:ascii="Times New Roman" w:hAnsi="Times New Roman"/>
          <w:b w:val="false"/>
          <w:bCs w:val="false"/>
          <w:i w:val="false"/>
          <w:iCs w:val="false"/>
          <w:position w:val="0"/>
          <w:sz w:val="24"/>
          <w:sz w:val="24"/>
          <w:vertAlign w:val="baseline"/>
        </w:rPr>
        <w:t>Hadamāra matricas ģenerators</w:t>
      </w:r>
      <w:r/>
    </w:p>
    <w:p>
      <w:pPr>
        <w:pStyle w:val="Normal"/>
        <w:numPr>
          <w:ilvl w:val="0"/>
          <w:numId w:val="1"/>
        </w:numPr>
        <w:spacing w:lineRule="auto" w:line="240" w:before="0" w:after="86"/>
        <w:contextualSpacing/>
        <w:jc w:val="both"/>
      </w:pPr>
      <w:r>
        <w:rPr>
          <w:rFonts w:ascii="Times New Roman" w:hAnsi="Times New Roman"/>
          <w:b w:val="false"/>
          <w:bCs w:val="false"/>
          <w:i w:val="false"/>
          <w:iCs w:val="false"/>
          <w:position w:val="0"/>
          <w:sz w:val="24"/>
          <w:sz w:val="24"/>
          <w:vertAlign w:val="baseline"/>
        </w:rPr>
        <w:t>Ātrā Valša-Adamāra pārveidojuma veicējs</w:t>
      </w:r>
      <w:r/>
    </w:p>
    <w:p>
      <w:pPr>
        <w:pStyle w:val="Normal"/>
        <w:numPr>
          <w:ilvl w:val="0"/>
          <w:numId w:val="1"/>
        </w:numPr>
        <w:spacing w:lineRule="auto" w:line="240" w:before="0" w:after="86"/>
        <w:contextualSpacing/>
        <w:jc w:val="both"/>
      </w:pPr>
      <w:r>
        <w:rPr>
          <w:rFonts w:ascii="Times New Roman" w:hAnsi="Times New Roman"/>
          <w:b w:val="false"/>
          <w:bCs w:val="false"/>
          <w:position w:val="0"/>
          <w:sz w:val="24"/>
          <w:sz w:val="24"/>
          <w:vertAlign w:val="baseline"/>
        </w:rPr>
        <w:t>Bināra skaitļa pārveidotājs uz attiecīgo Greja(Gray) kodu</w:t>
      </w:r>
      <w:r/>
    </w:p>
    <w:p>
      <w:pPr>
        <w:pStyle w:val="Normal"/>
        <w:numPr>
          <w:ilvl w:val="0"/>
          <w:numId w:val="1"/>
        </w:numPr>
        <w:spacing w:lineRule="auto" w:line="240" w:before="0" w:after="86"/>
        <w:contextualSpacing/>
        <w:jc w:val="both"/>
      </w:pPr>
      <w:r>
        <w:rPr>
          <w:rFonts w:ascii="Times New Roman" w:hAnsi="Times New Roman"/>
          <w:b w:val="false"/>
          <w:bCs w:val="false"/>
          <w:i w:val="false"/>
          <w:iCs w:val="false"/>
          <w:position w:val="0"/>
          <w:sz w:val="24"/>
          <w:sz w:val="24"/>
          <w:vertAlign w:val="baseline"/>
        </w:rPr>
        <w:t xml:space="preserve">Bināra skaitļa bitu </w:t>
      </w:r>
      <w:r>
        <w:rPr>
          <w:rFonts w:ascii="Times New Roman" w:hAnsi="Times New Roman"/>
          <w:b w:val="false"/>
          <w:bCs w:val="false"/>
          <w:i/>
          <w:iCs/>
          <w:position w:val="0"/>
          <w:sz w:val="24"/>
          <w:sz w:val="24"/>
          <w:vertAlign w:val="baseline"/>
        </w:rPr>
        <w:t xml:space="preserve">spoguļošanas </w:t>
      </w:r>
      <w:r>
        <w:rPr>
          <w:rFonts w:ascii="Times New Roman" w:hAnsi="Times New Roman"/>
          <w:b w:val="false"/>
          <w:bCs w:val="false"/>
          <w:i w:val="false"/>
          <w:iCs w:val="false"/>
          <w:position w:val="0"/>
          <w:sz w:val="24"/>
          <w:sz w:val="24"/>
          <w:vertAlign w:val="baseline"/>
        </w:rPr>
        <w:t>operācijas veicējs (piem. 8 bitu skaitļa 1. un 8.; 2. un 7. utml. bitus samaina vietām)</w:t>
      </w:r>
      <w:r/>
    </w:p>
    <w:p>
      <w:pPr>
        <w:pStyle w:val="Normal"/>
        <w:spacing w:lineRule="auto" w:line="240" w:before="0" w:after="86"/>
        <w:contextualSpacing/>
        <w:jc w:val="both"/>
        <w:rPr>
          <w:sz w:val="22"/>
          <w:sz w:val="22"/>
          <w:szCs w:val="22"/>
          <w:rFonts w:ascii="Times New Roman" w:hAnsi="Times New Roman" w:eastAsia="Calibri" w:cs="" w:cstheme="minorBidi" w:eastAsiaTheme="minorHAnsi"/>
          <w:color w:val="00000A"/>
          <w:lang w:val="lv-LV" w:eastAsia="en-US" w:bidi="ar-SA"/>
        </w:rPr>
      </w:pPr>
      <w:r>
        <w:rPr>
          <w:rFonts w:eastAsia="Calibri" w:cs="" w:cstheme="minorBidi" w:eastAsiaTheme="minorHAnsi" w:ascii="Times New Roman" w:hAnsi="Times New Roman"/>
          <w:color w:val="00000A"/>
          <w:sz w:val="22"/>
          <w:szCs w:val="22"/>
          <w:lang w:val="lv-LV" w:eastAsia="en-US" w:bidi="ar-SA"/>
        </w:rPr>
      </w:r>
      <w:r/>
    </w:p>
    <w:p>
      <w:pPr>
        <w:pStyle w:val="Normal"/>
        <w:spacing w:lineRule="auto" w:line="240" w:before="0" w:after="86"/>
        <w:contextualSpacing/>
        <w:jc w:val="both"/>
      </w:pPr>
      <w:r>
        <w:rPr>
          <w:rFonts w:ascii="Times New Roman" w:hAnsi="Times New Roman"/>
          <w:b w:val="false"/>
          <w:bCs w:val="false"/>
          <w:i w:val="false"/>
          <w:iCs w:val="false"/>
          <w:position w:val="0"/>
          <w:sz w:val="24"/>
          <w:sz w:val="24"/>
          <w:vertAlign w:val="baseline"/>
        </w:rPr>
        <w:tab/>
        <w:t xml:space="preserve">Bināro skaitļu pārveides funkcijas nepieciešamas, lai FWHT doto Adamāra koeficientu kopu pārkārtotu Volša secībā. Volša secība ir intuitīvi labāk saprotama, jo komponenšu </w:t>
      </w:r>
      <w:r>
        <w:rPr>
          <w:rFonts w:ascii="Times New Roman" w:hAnsi="Times New Roman"/>
          <w:b w:val="false"/>
          <w:bCs w:val="false"/>
          <w:i/>
          <w:iCs/>
          <w:position w:val="0"/>
          <w:sz w:val="24"/>
          <w:sz w:val="24"/>
          <w:vertAlign w:val="baseline"/>
        </w:rPr>
        <w:t xml:space="preserve">frekvences </w:t>
      </w:r>
      <w:r>
        <w:rPr>
          <w:rFonts w:ascii="Times New Roman" w:hAnsi="Times New Roman"/>
          <w:b w:val="false"/>
          <w:bCs w:val="false"/>
          <w:i w:val="false"/>
          <w:iCs w:val="false"/>
          <w:position w:val="0"/>
          <w:sz w:val="24"/>
          <w:sz w:val="24"/>
          <w:vertAlign w:val="baseline"/>
        </w:rPr>
        <w:t>aug secīgi ejot cauri indeksiem, taču Adamāra sakārtojumā komponentes nezinātājam var šķist samētātas haotiski.</w:t>
        <w:drawing>
          <wp:anchor behindDoc="0" distT="0" distB="0" distL="0" distR="0" simplePos="0" locked="0" layoutInCell="1" allowOverlap="1" relativeHeight="6">
            <wp:simplePos x="0" y="0"/>
            <wp:positionH relativeFrom="column">
              <wp:align>center</wp:align>
            </wp:positionH>
            <wp:positionV relativeFrom="paragraph">
              <wp:posOffset>756920</wp:posOffset>
            </wp:positionV>
            <wp:extent cx="3097530" cy="1699260"/>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8"/>
                    <a:stretch>
                      <a:fillRect/>
                    </a:stretch>
                  </pic:blipFill>
                  <pic:spPr bwMode="auto">
                    <a:xfrm>
                      <a:off x="0" y="0"/>
                      <a:ext cx="3097530" cy="1699260"/>
                    </a:xfrm>
                    <a:prstGeom prst="rect">
                      <a:avLst/>
                    </a:prstGeom>
                    <a:noFill/>
                    <a:ln w="9525">
                      <a:noFill/>
                      <a:miter lim="800000"/>
                      <a:headEnd/>
                      <a:tailEnd/>
                    </a:ln>
                  </pic:spPr>
                </pic:pic>
              </a:graphicData>
            </a:graphic>
          </wp:anchor>
        </w:drawing>
      </w:r>
      <w:r/>
    </w:p>
    <w:p>
      <w:pPr>
        <w:pStyle w:val="Normal"/>
        <w:spacing w:lineRule="auto" w:line="240" w:before="0" w:after="86"/>
        <w:contextualSpacing/>
        <w:jc w:val="center"/>
      </w:pPr>
      <w:r>
        <w:rPr>
          <w:rFonts w:ascii="Times New Roman" w:hAnsi="Times New Roman"/>
        </w:rPr>
        <w:t>Att.2.4. Adamāra matricas rekursīvas izveides process.</w:t>
      </w:r>
      <w:r/>
    </w:p>
    <w:p>
      <w:pPr>
        <w:pStyle w:val="Normal"/>
        <w:spacing w:lineRule="auto" w:line="240" w:before="0" w:after="86"/>
        <w:contextualSpacing/>
        <w:jc w:val="center"/>
        <w:rPr>
          <w:sz w:val="22"/>
          <w:sz w:val="22"/>
          <w:szCs w:val="22"/>
          <w:rFonts w:ascii="Times New Roman" w:hAnsi="Times New Roman" w:eastAsia="Calibri" w:cs="" w:cstheme="minorBidi" w:eastAsiaTheme="minorHAnsi"/>
          <w:color w:val="00000A"/>
          <w:lang w:val="lv-LV" w:eastAsia="en-US" w:bidi="ar-SA"/>
        </w:rPr>
      </w:pPr>
      <w:r>
        <w:rPr>
          <w:rFonts w:eastAsia="Calibri" w:cs="" w:cstheme="minorBidi" w:eastAsiaTheme="minorHAnsi" w:ascii="Times New Roman" w:hAnsi="Times New Roman"/>
          <w:color w:val="00000A"/>
          <w:sz w:val="22"/>
          <w:szCs w:val="22"/>
          <w:lang w:val="lv-LV" w:eastAsia="en-US" w:bidi="ar-SA"/>
        </w:rPr>
      </w:r>
      <w:r/>
    </w:p>
    <w:p>
      <w:pPr>
        <w:pStyle w:val="Normal"/>
        <w:spacing w:lineRule="auto" w:line="240" w:before="0" w:after="86"/>
        <w:contextualSpacing/>
        <w:jc w:val="both"/>
      </w:pPr>
      <w:r>
        <w:rPr>
          <w:rFonts w:ascii="Times New Roman" w:hAnsi="Times New Roman"/>
          <w:b w:val="false"/>
          <w:bCs w:val="false"/>
          <w:i w:val="false"/>
          <w:iCs w:val="false"/>
          <w:position w:val="0"/>
          <w:sz w:val="24"/>
          <w:sz w:val="24"/>
          <w:vertAlign w:val="baseline"/>
        </w:rPr>
        <w:tab/>
        <w:t>Adamāra matricas ģenerators izpaudās kā rekursīvs algoritms, kas no 1x1 Adamāra matricas izveido 2^N * 2^N lielu matricu.</w:t>
      </w:r>
      <w:r/>
    </w:p>
    <w:p>
      <w:pPr>
        <w:pStyle w:val="Normal"/>
        <w:spacing w:lineRule="auto" w:line="240" w:before="0" w:after="86"/>
        <w:contextualSpacing/>
        <w:jc w:val="both"/>
        <w:rPr>
          <w:vertAlign w:val="baseline"/>
          <w:position w:val="0"/>
          <w:sz w:val="24"/>
          <w:sz w:val="24"/>
          <w:i w:val="false"/>
          <w:b w:val="false"/>
          <w:sz w:val="24"/>
          <w:i w:val="false"/>
          <w:b w:val="false"/>
          <w:szCs w:val="22"/>
          <w:iCs w:val="false"/>
          <w:bCs w:val="false"/>
          <w:rFonts w:ascii="Calibri" w:hAnsi="Calibri" w:eastAsia="Calibri" w:cs="" w:asciiTheme="minorHAnsi" w:cstheme="minorBidi" w:eastAsiaTheme="minorHAnsi" w:hAnsiTheme="minorHAnsi"/>
          <w:color w:val="00000A"/>
          <w:lang w:val="lv-LV" w:eastAsia="en-US" w:bidi="ar-SA"/>
        </w:rPr>
      </w:pPr>
      <w:r>
        <w:rPr>
          <w:b w:val="false"/>
          <w:bCs w:val="false"/>
          <w:i w:val="false"/>
          <w:iCs w:val="false"/>
          <w:position w:val="0"/>
          <w:sz w:val="24"/>
          <w:sz w:val="24"/>
          <w:vertAlign w:val="baseline"/>
        </w:rPr>
      </w:r>
      <w:r/>
    </w:p>
    <w:p>
      <w:pPr>
        <w:pStyle w:val="Normal"/>
        <w:spacing w:lineRule="auto" w:line="240" w:before="0" w:after="86"/>
        <w:contextualSpacing/>
        <w:jc w:val="both"/>
        <w:rPr>
          <w:sz w:val="22"/>
          <w:sz w:val="22"/>
          <w:szCs w:val="22"/>
          <w:rFonts w:ascii="Times New Roman" w:hAnsi="Times New Roman" w:eastAsia="Calibri" w:cs="" w:cstheme="minorBidi" w:eastAsiaTheme="minorHAnsi"/>
          <w:color w:val="00000A"/>
          <w:lang w:val="lv-LV" w:eastAsia="en-US" w:bidi="ar-SA"/>
        </w:rPr>
      </w:pPr>
      <w:r>
        <w:rPr>
          <w:rFonts w:eastAsia="Calibri" w:cs="" w:cstheme="minorBidi" w:eastAsiaTheme="minorHAnsi" w:ascii="Times New Roman" w:hAnsi="Times New Roman"/>
          <w:color w:val="00000A"/>
          <w:sz w:val="22"/>
          <w:szCs w:val="22"/>
          <w:lang w:val="lv-LV" w:eastAsia="en-US" w:bidi="ar-SA"/>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274310" cy="201295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9"/>
                    <a:stretch>
                      <a:fillRect/>
                    </a:stretch>
                  </pic:blipFill>
                  <pic:spPr bwMode="auto">
                    <a:xfrm>
                      <a:off x="0" y="0"/>
                      <a:ext cx="5274310" cy="2012950"/>
                    </a:xfrm>
                    <a:prstGeom prst="rect">
                      <a:avLst/>
                    </a:prstGeom>
                    <a:noFill/>
                    <a:ln w="9525">
                      <a:noFill/>
                      <a:miter lim="800000"/>
                      <a:headEnd/>
                      <a:tailEnd/>
                    </a:ln>
                  </pic:spPr>
                </pic:pic>
              </a:graphicData>
            </a:graphic>
          </wp:anchor>
        </w:drawing>
      </w:r>
      <w:r/>
    </w:p>
    <w:p>
      <w:pPr>
        <w:pStyle w:val="Normal"/>
        <w:spacing w:lineRule="auto" w:line="240" w:before="0" w:after="86"/>
        <w:contextualSpacing/>
        <w:jc w:val="center"/>
      </w:pPr>
      <w:r>
        <w:rPr>
          <w:rFonts w:ascii="Times New Roman" w:hAnsi="Times New Roman"/>
          <w:b w:val="false"/>
          <w:bCs w:val="false"/>
          <w:i w:val="false"/>
          <w:iCs w:val="false"/>
          <w:position w:val="0"/>
          <w:sz w:val="24"/>
          <w:sz w:val="24"/>
          <w:vertAlign w:val="baseline"/>
        </w:rPr>
        <w:t>Att.2.3. Pilnais dziņa algoritma īstenojums.</w:t>
      </w:r>
      <w:r/>
    </w:p>
    <w:p>
      <w:pPr>
        <w:pStyle w:val="Normal"/>
        <w:spacing w:lineRule="auto" w:line="240" w:before="0" w:after="86"/>
        <w:contextualSpacing/>
        <w:jc w:val="both"/>
        <w:rPr>
          <w:sz w:val="24"/>
          <w:sz w:val="24"/>
          <w:szCs w:val="24"/>
          <w:rFonts w:ascii="Times New Roman" w:hAnsi="Times New Roman" w:eastAsia="Calibri" w:cs="" w:cstheme="minorBidi" w:eastAsiaTheme="minorHAnsi"/>
          <w:color w:val="00000A"/>
          <w:lang w:val="lv-LV" w:eastAsia="en-US" w:bidi="ar-SA"/>
        </w:rPr>
      </w:pPr>
      <w:r>
        <w:rPr>
          <w:rFonts w:eastAsia="Calibri" w:cs="" w:cstheme="minorBidi" w:eastAsiaTheme="minorHAnsi" w:ascii="Times New Roman" w:hAnsi="Times New Roman"/>
          <w:color w:val="00000A"/>
          <w:sz w:val="24"/>
          <w:szCs w:val="24"/>
          <w:lang w:val="lv-LV" w:eastAsia="en-US" w:bidi="ar-SA"/>
        </w:rPr>
      </w:r>
      <w:r/>
    </w:p>
    <w:p>
      <w:pPr>
        <w:pStyle w:val="Normal"/>
        <w:spacing w:lineRule="auto" w:line="240" w:before="0" w:after="86"/>
        <w:contextualSpacing/>
        <w:jc w:val="center"/>
        <w:rPr>
          <w:sz w:val="24"/>
          <w:sz w:val="24"/>
          <w:szCs w:val="24"/>
          <w:rFonts w:ascii="Times New Roman" w:hAnsi="Times New Roman" w:eastAsia="Calibri" w:cs="" w:cstheme="minorBidi" w:eastAsiaTheme="minorHAnsi"/>
          <w:color w:val="00000A"/>
          <w:lang w:val="lv-LV" w:eastAsia="en-US" w:bidi="ar-SA"/>
        </w:rPr>
      </w:pPr>
      <w:r>
        <w:rPr>
          <w:rFonts w:ascii="Times New Roman" w:hAnsi="Times New Roman"/>
          <w:sz w:val="24"/>
          <w:szCs w:val="24"/>
        </w:rPr>
        <w:t xml:space="preserve">Att. 2.4. Iekārtas vienkāršota shēma. </w:t>
        <w:drawing>
          <wp:anchor behindDoc="0" distT="0" distB="0" distL="0" distR="0" simplePos="0" locked="0" layoutInCell="1" allowOverlap="1" relativeHeight="5">
            <wp:simplePos x="0" y="0"/>
            <wp:positionH relativeFrom="column">
              <wp:posOffset>935355</wp:posOffset>
            </wp:positionH>
            <wp:positionV relativeFrom="paragraph">
              <wp:posOffset>-13335</wp:posOffset>
            </wp:positionV>
            <wp:extent cx="3522345" cy="2483485"/>
            <wp:effectExtent l="0" t="0" r="0" b="0"/>
            <wp:wrapTopAndBottom/>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0"/>
                    <a:stretch>
                      <a:fillRect/>
                    </a:stretch>
                  </pic:blipFill>
                  <pic:spPr bwMode="auto">
                    <a:xfrm>
                      <a:off x="0" y="0"/>
                      <a:ext cx="3522345" cy="2483485"/>
                    </a:xfrm>
                    <a:prstGeom prst="rect">
                      <a:avLst/>
                    </a:prstGeom>
                    <a:noFill/>
                    <a:ln w="9525">
                      <a:noFill/>
                      <a:miter lim="800000"/>
                      <a:headEnd/>
                      <a:tailEnd/>
                    </a:ln>
                  </pic:spPr>
                </pic:pic>
              </a:graphicData>
            </a:graphic>
          </wp:anchor>
        </w:drawing>
      </w:r>
      <w:r/>
    </w:p>
    <w:p>
      <w:pPr>
        <w:pStyle w:val="Normal"/>
        <w:spacing w:lineRule="auto" w:line="240" w:before="0" w:after="86"/>
        <w:contextualSpacing/>
        <w:jc w:val="both"/>
        <w:rPr>
          <w:sz w:val="24"/>
          <w:sz w:val="24"/>
          <w:szCs w:val="24"/>
          <w:rFonts w:ascii="Times New Roman" w:hAnsi="Times New Roman" w:eastAsia="Calibri" w:cs="" w:cstheme="minorBidi" w:eastAsiaTheme="minorHAnsi"/>
          <w:color w:val="00000A"/>
          <w:lang w:val="lv-LV" w:eastAsia="en-US" w:bidi="ar-SA"/>
        </w:rPr>
      </w:pPr>
      <w:r>
        <w:rPr>
          <w:rFonts w:eastAsia="Calibri" w:cs="" w:cstheme="minorBidi" w:eastAsiaTheme="minorHAnsi" w:ascii="Times New Roman" w:hAnsi="Times New Roman"/>
          <w:color w:val="00000A"/>
          <w:sz w:val="24"/>
          <w:szCs w:val="24"/>
          <w:lang w:val="lv-LV" w:eastAsia="en-US" w:bidi="ar-SA"/>
        </w:rPr>
      </w:r>
      <w:r/>
    </w:p>
    <w:p>
      <w:pPr>
        <w:pStyle w:val="Normal"/>
        <w:spacing w:lineRule="auto" w:line="240" w:before="0" w:after="86"/>
        <w:ind w:left="0" w:hanging="0"/>
        <w:contextualSpacing/>
        <w:jc w:val="both"/>
      </w:pPr>
      <w:r>
        <w:rPr>
          <w:rFonts w:ascii="Times New Roman" w:hAnsi="Times New Roman"/>
          <w:sz w:val="24"/>
          <w:szCs w:val="24"/>
        </w:rPr>
        <w:tab/>
        <w:t xml:space="preserve">Spektra analizatora versija tika izstrādāta uz mikrokontroliera STM8S003 izstrādes plates bāzes. </w:t>
      </w:r>
      <w:r/>
    </w:p>
    <w:p>
      <w:pPr>
        <w:pStyle w:val="Normal"/>
        <w:spacing w:lineRule="auto" w:line="240" w:before="0" w:after="86"/>
        <w:ind w:left="0" w:hanging="0"/>
        <w:contextualSpacing/>
        <w:jc w:val="both"/>
      </w:pPr>
      <w:r>
        <w:rPr>
          <w:rFonts w:ascii="Times New Roman" w:hAnsi="Times New Roman"/>
          <w:sz w:val="24"/>
          <w:szCs w:val="24"/>
        </w:rPr>
        <w:tab/>
        <w:t>Kā ieeja tika izmantots 3.5mm audio spraudnis. Ieejošā signāla līmenis tiek iestatīts ar pirmo potenciometru pēc kura seko kondensators, ar kuru tiek atdalīta līdzkomponente, kas tiek pievienota ar otru potenciometru un visbeidzot signāls ir pieslēgts ADC pievadam (līdzkomponente nepieciešama, jo ADC diapazons ir no 0V līdz barošanas spriegumam un ar līdzkomponenti iespējams signālu pilnībā ievietot ADC mērīšanas diapazonā). ADC tiek taktēts ar nemainīgu frekvenci un, pēc 32 ielašu iegūšanas, tām tiek veikta FWHT un rezultāti(pārkārtoti Volša secībā), kā arī oriģinālais signāls, attēloti uz LCD.</w:t>
      </w:r>
      <w:r/>
    </w:p>
    <w:p>
      <w:pPr>
        <w:pStyle w:val="Normal"/>
        <w:spacing w:lineRule="auto" w:line="240" w:before="0" w:after="86"/>
        <w:ind w:left="0" w:hanging="0"/>
        <w:contextualSpacing/>
        <w:jc w:val="both"/>
        <w:rPr>
          <w:sz w:val="24"/>
          <w:sz w:val="24"/>
          <w:szCs w:val="24"/>
          <w:rFonts w:ascii="Times New Roman" w:hAnsi="Times New Roman" w:eastAsia="Calibri" w:cs="" w:cstheme="minorBidi" w:eastAsiaTheme="minorHAnsi"/>
          <w:color w:val="00000A"/>
          <w:lang w:val="lv-LV" w:eastAsia="en-US" w:bidi="ar-SA"/>
        </w:rPr>
      </w:pPr>
      <w:r>
        <w:rPr>
          <w:rFonts w:eastAsia="Calibri" w:cs="" w:cstheme="minorBidi" w:eastAsiaTheme="minorHAnsi" w:ascii="Times New Roman" w:hAnsi="Times New Roman"/>
          <w:color w:val="00000A"/>
          <w:sz w:val="24"/>
          <w:szCs w:val="24"/>
          <w:lang w:val="lv-LV" w:eastAsia="en-US" w:bidi="ar-SA"/>
        </w:rPr>
      </w:r>
      <w:r/>
    </w:p>
    <w:p>
      <w:pPr>
        <w:pStyle w:val="Normal"/>
        <w:spacing w:lineRule="auto" w:line="240" w:before="0" w:after="86"/>
        <w:contextualSpacing/>
        <w:jc w:val="both"/>
        <w:rPr>
          <w:sz w:val="24"/>
          <w:sz w:val="24"/>
          <w:szCs w:val="24"/>
          <w:rFonts w:ascii="Times New Roman" w:hAnsi="Times New Roman" w:eastAsia="Calibri" w:cs="" w:cstheme="minorBidi" w:eastAsiaTheme="minorHAnsi"/>
          <w:color w:val="00000A"/>
          <w:lang w:val="lv-LV" w:eastAsia="en-US" w:bidi="ar-SA"/>
        </w:rPr>
      </w:pPr>
      <w:r>
        <w:rPr>
          <w:rFonts w:eastAsia="Calibri" w:cs="" w:cstheme="minorBidi" w:eastAsiaTheme="minorHAnsi" w:ascii="Times New Roman" w:hAnsi="Times New Roman"/>
          <w:color w:val="00000A"/>
          <w:sz w:val="24"/>
          <w:szCs w:val="24"/>
          <w:lang w:val="lv-LV" w:eastAsia="en-US" w:bidi="ar-SA"/>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3227070" cy="247142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1"/>
                    <a:stretch>
                      <a:fillRect/>
                    </a:stretch>
                  </pic:blipFill>
                  <pic:spPr bwMode="auto">
                    <a:xfrm>
                      <a:off x="0" y="0"/>
                      <a:ext cx="3227070" cy="2471420"/>
                    </a:xfrm>
                    <a:prstGeom prst="rect">
                      <a:avLst/>
                    </a:prstGeom>
                    <a:noFill/>
                    <a:ln w="9525">
                      <a:noFill/>
                      <a:miter lim="800000"/>
                      <a:headEnd/>
                      <a:tailEnd/>
                    </a:ln>
                  </pic:spPr>
                </pic:pic>
              </a:graphicData>
            </a:graphic>
          </wp:anchor>
        </w:drawing>
      </w:r>
      <w:r/>
    </w:p>
    <w:p>
      <w:pPr>
        <w:pStyle w:val="Normal"/>
        <w:spacing w:lineRule="auto" w:line="240" w:before="0" w:after="86"/>
        <w:contextualSpacing/>
        <w:jc w:val="both"/>
        <w:rPr>
          <w:sz w:val="24"/>
          <w:sz w:val="24"/>
          <w:szCs w:val="24"/>
          <w:rFonts w:ascii="Times New Roman" w:hAnsi="Times New Roman" w:eastAsia="Calibri" w:cs="" w:cstheme="minorBidi" w:eastAsiaTheme="minorHAnsi"/>
          <w:color w:val="00000A"/>
          <w:lang w:val="lv-LV" w:eastAsia="en-US" w:bidi="ar-SA"/>
        </w:rPr>
      </w:pPr>
      <w:r>
        <w:rPr>
          <w:rFonts w:eastAsia="Calibri" w:cs="" w:cstheme="minorBidi" w:eastAsiaTheme="minorHAnsi" w:ascii="Times New Roman" w:hAnsi="Times New Roman"/>
          <w:color w:val="00000A"/>
          <w:sz w:val="24"/>
          <w:szCs w:val="24"/>
          <w:lang w:val="lv-LV" w:eastAsia="en-US" w:bidi="ar-SA"/>
        </w:rPr>
      </w:r>
      <w:r/>
    </w:p>
    <w:p>
      <w:pPr>
        <w:pStyle w:val="Normal"/>
        <w:spacing w:lineRule="auto" w:line="240" w:before="0" w:after="86"/>
        <w:contextualSpacing/>
        <w:jc w:val="both"/>
        <w:rPr>
          <w:sz w:val="24"/>
          <w:sz w:val="24"/>
          <w:szCs w:val="24"/>
          <w:rFonts w:ascii="Times New Roman" w:hAnsi="Times New Roman" w:eastAsia="Calibri" w:cs="" w:cstheme="minorBidi" w:eastAsiaTheme="minorHAnsi"/>
          <w:color w:val="00000A"/>
          <w:lang w:val="lv-LV" w:eastAsia="en-US" w:bidi="ar-SA"/>
        </w:rPr>
      </w:pPr>
      <w:r>
        <w:rPr>
          <w:rFonts w:eastAsia="Calibri" w:cs="" w:cstheme="minorBidi" w:eastAsiaTheme="minorHAnsi" w:ascii="Times New Roman" w:hAnsi="Times New Roman"/>
          <w:color w:val="00000A"/>
          <w:sz w:val="24"/>
          <w:szCs w:val="24"/>
          <w:lang w:val="lv-LV" w:eastAsia="en-US" w:bidi="ar-SA"/>
        </w:rPr>
      </w:r>
      <w:r/>
    </w:p>
    <w:p>
      <w:pPr>
        <w:pStyle w:val="Normal"/>
        <w:spacing w:lineRule="auto" w:line="240" w:before="0" w:after="86"/>
        <w:contextualSpacing/>
        <w:jc w:val="both"/>
        <w:rPr>
          <w:sz w:val="24"/>
          <w:sz w:val="24"/>
          <w:szCs w:val="24"/>
          <w:rFonts w:ascii="Times New Roman" w:hAnsi="Times New Roman" w:eastAsia="Calibri" w:cs="" w:cstheme="minorBidi" w:eastAsiaTheme="minorHAnsi"/>
          <w:color w:val="00000A"/>
          <w:lang w:val="lv-LV" w:eastAsia="en-US" w:bidi="ar-SA"/>
        </w:rPr>
      </w:pPr>
      <w:r>
        <w:rPr>
          <w:rFonts w:eastAsia="Calibri" w:cs="" w:cstheme="minorBidi" w:eastAsiaTheme="minorHAnsi" w:ascii="Times New Roman" w:hAnsi="Times New Roman"/>
          <w:color w:val="00000A"/>
          <w:sz w:val="24"/>
          <w:szCs w:val="24"/>
          <w:lang w:val="lv-LV" w:eastAsia="en-US" w:bidi="ar-SA"/>
        </w:rPr>
      </w:r>
      <w:r/>
    </w:p>
    <w:p>
      <w:pPr>
        <w:pStyle w:val="Normal"/>
        <w:spacing w:lineRule="auto" w:line="240" w:before="0" w:after="86"/>
        <w:contextualSpacing/>
        <w:jc w:val="both"/>
        <w:rPr>
          <w:sz w:val="24"/>
          <w:sz w:val="24"/>
          <w:szCs w:val="24"/>
          <w:rFonts w:ascii="Times New Roman" w:hAnsi="Times New Roman" w:eastAsia="Calibri" w:cs="" w:cstheme="minorBidi" w:eastAsiaTheme="minorHAnsi"/>
          <w:color w:val="00000A"/>
          <w:lang w:val="lv-LV" w:eastAsia="en-US" w:bidi="ar-SA"/>
        </w:rPr>
      </w:pPr>
      <w:r>
        <w:rPr>
          <w:rFonts w:eastAsia="Calibri" w:cs="" w:cstheme="minorBidi" w:eastAsiaTheme="minorHAnsi" w:ascii="Times New Roman" w:hAnsi="Times New Roman"/>
          <w:color w:val="00000A"/>
          <w:sz w:val="24"/>
          <w:szCs w:val="24"/>
          <w:lang w:val="lv-LV" w:eastAsia="en-US" w:bidi="ar-SA"/>
        </w:rPr>
      </w:r>
      <w:r/>
    </w:p>
    <w:p>
      <w:pPr>
        <w:pStyle w:val="Normal"/>
        <w:spacing w:lineRule="auto" w:line="240" w:before="0" w:after="86"/>
        <w:contextualSpacing/>
        <w:jc w:val="both"/>
        <w:rPr>
          <w:sz w:val="24"/>
          <w:sz w:val="24"/>
          <w:szCs w:val="24"/>
          <w:rFonts w:ascii="Times New Roman" w:hAnsi="Times New Roman" w:eastAsia="Calibri" w:cs="" w:cstheme="minorBidi" w:eastAsiaTheme="minorHAnsi"/>
          <w:color w:val="00000A"/>
          <w:lang w:val="lv-LV" w:eastAsia="en-US" w:bidi="ar-SA"/>
        </w:rPr>
      </w:pPr>
      <w:r>
        <w:rPr>
          <w:rFonts w:eastAsia="Calibri" w:cs="" w:cstheme="minorBidi" w:eastAsiaTheme="minorHAnsi" w:ascii="Times New Roman" w:hAnsi="Times New Roman"/>
          <w:color w:val="00000A"/>
          <w:sz w:val="24"/>
          <w:szCs w:val="24"/>
          <w:lang w:val="lv-LV" w:eastAsia="en-US" w:bidi="ar-SA"/>
        </w:rPr>
      </w:r>
      <w:r/>
    </w:p>
    <w:p>
      <w:pPr>
        <w:pStyle w:val="Normal"/>
        <w:spacing w:lineRule="auto" w:line="240" w:before="0" w:after="86"/>
        <w:contextualSpacing/>
        <w:jc w:val="both"/>
        <w:rPr>
          <w:sz w:val="24"/>
          <w:sz w:val="24"/>
          <w:szCs w:val="24"/>
          <w:rFonts w:ascii="Times New Roman" w:hAnsi="Times New Roman" w:eastAsia="Calibri" w:cs="" w:cstheme="minorBidi" w:eastAsiaTheme="minorHAnsi"/>
          <w:color w:val="00000A"/>
          <w:lang w:val="lv-LV" w:eastAsia="en-US" w:bidi="ar-SA"/>
        </w:rPr>
      </w:pPr>
      <w:r>
        <w:rPr>
          <w:rFonts w:eastAsia="Calibri" w:cs="" w:cstheme="minorBidi" w:eastAsiaTheme="minorHAnsi" w:ascii="Times New Roman" w:hAnsi="Times New Roman"/>
          <w:color w:val="00000A"/>
          <w:sz w:val="24"/>
          <w:szCs w:val="24"/>
          <w:lang w:val="lv-LV" w:eastAsia="en-US" w:bidi="ar-SA"/>
        </w:rPr>
      </w:r>
      <w:r/>
    </w:p>
    <w:p>
      <w:pPr>
        <w:pStyle w:val="Normal"/>
        <w:spacing w:lineRule="auto" w:line="240" w:before="0" w:after="86"/>
        <w:contextualSpacing/>
        <w:jc w:val="both"/>
        <w:rPr>
          <w:sz w:val="24"/>
          <w:sz w:val="24"/>
          <w:szCs w:val="24"/>
          <w:rFonts w:ascii="Times New Roman" w:hAnsi="Times New Roman" w:eastAsia="Calibri" w:cs="" w:cstheme="minorBidi" w:eastAsiaTheme="minorHAnsi"/>
          <w:color w:val="00000A"/>
          <w:lang w:val="lv-LV" w:eastAsia="en-US" w:bidi="ar-SA"/>
        </w:rPr>
      </w:pPr>
      <w:r>
        <w:rPr>
          <w:rFonts w:eastAsia="Calibri" w:cs="" w:cstheme="minorBidi" w:eastAsiaTheme="minorHAnsi" w:ascii="Times New Roman" w:hAnsi="Times New Roman"/>
          <w:color w:val="00000A"/>
          <w:sz w:val="24"/>
          <w:szCs w:val="24"/>
          <w:lang w:val="lv-LV" w:eastAsia="en-US" w:bidi="ar-SA"/>
        </w:rPr>
      </w:r>
      <w:r/>
    </w:p>
    <w:p>
      <w:pPr>
        <w:pStyle w:val="Normal"/>
        <w:spacing w:lineRule="auto" w:line="240" w:before="0" w:after="86"/>
        <w:contextualSpacing/>
        <w:jc w:val="both"/>
        <w:rPr>
          <w:sz w:val="24"/>
          <w:sz w:val="24"/>
          <w:szCs w:val="24"/>
          <w:rFonts w:ascii="Times New Roman" w:hAnsi="Times New Roman" w:eastAsia="Calibri" w:cs="" w:cstheme="minorBidi" w:eastAsiaTheme="minorHAnsi"/>
          <w:color w:val="00000A"/>
          <w:lang w:val="lv-LV" w:eastAsia="en-US" w:bidi="ar-SA"/>
        </w:rPr>
      </w:pPr>
      <w:r>
        <w:rPr>
          <w:rFonts w:eastAsia="Calibri" w:cs="" w:cstheme="minorBidi" w:eastAsiaTheme="minorHAnsi" w:ascii="Times New Roman" w:hAnsi="Times New Roman"/>
          <w:color w:val="00000A"/>
          <w:sz w:val="24"/>
          <w:szCs w:val="24"/>
          <w:lang w:val="lv-LV" w:eastAsia="en-US" w:bidi="ar-SA"/>
        </w:rPr>
      </w:r>
      <w:r/>
    </w:p>
    <w:p>
      <w:pPr>
        <w:pStyle w:val="Normal"/>
        <w:spacing w:lineRule="auto" w:line="240" w:before="0" w:after="86"/>
        <w:contextualSpacing/>
        <w:jc w:val="both"/>
        <w:rPr>
          <w:sz w:val="24"/>
          <w:sz w:val="24"/>
          <w:szCs w:val="24"/>
          <w:rFonts w:ascii="Times New Roman" w:hAnsi="Times New Roman" w:eastAsia="Calibri" w:cs="" w:cstheme="minorBidi" w:eastAsiaTheme="minorHAnsi"/>
          <w:color w:val="00000A"/>
          <w:lang w:val="lv-LV" w:eastAsia="en-US" w:bidi="ar-SA"/>
        </w:rPr>
      </w:pPr>
      <w:r>
        <w:rPr>
          <w:rFonts w:eastAsia="Calibri" w:cs="" w:cstheme="minorBidi" w:eastAsiaTheme="minorHAnsi" w:ascii="Times New Roman" w:hAnsi="Times New Roman"/>
          <w:color w:val="00000A"/>
          <w:sz w:val="24"/>
          <w:szCs w:val="24"/>
          <w:lang w:val="lv-LV" w:eastAsia="en-US" w:bidi="ar-SA"/>
        </w:rPr>
      </w:r>
      <w:r/>
    </w:p>
    <w:p>
      <w:pPr>
        <w:pStyle w:val="Normal"/>
        <w:spacing w:lineRule="auto" w:line="240" w:before="0" w:after="86"/>
        <w:contextualSpacing/>
        <w:jc w:val="both"/>
        <w:rPr>
          <w:sz w:val="24"/>
          <w:sz w:val="24"/>
          <w:szCs w:val="24"/>
          <w:rFonts w:ascii="Times New Roman" w:hAnsi="Times New Roman" w:eastAsia="Calibri" w:cs="" w:cstheme="minorBidi" w:eastAsiaTheme="minorHAnsi"/>
          <w:color w:val="00000A"/>
          <w:lang w:val="lv-LV" w:eastAsia="en-US" w:bidi="ar-SA"/>
        </w:rPr>
      </w:pPr>
      <w:r>
        <w:rPr>
          <w:rFonts w:eastAsia="Calibri" w:cs="" w:cstheme="minorBidi" w:eastAsiaTheme="minorHAnsi" w:ascii="Times New Roman" w:hAnsi="Times New Roman"/>
          <w:color w:val="00000A"/>
          <w:sz w:val="24"/>
          <w:szCs w:val="24"/>
          <w:lang w:val="lv-LV" w:eastAsia="en-US" w:bidi="ar-SA"/>
        </w:rPr>
      </w:r>
      <w:r/>
    </w:p>
    <w:p>
      <w:pPr>
        <w:pStyle w:val="Normal"/>
        <w:spacing w:lineRule="auto" w:line="240" w:before="0" w:after="86"/>
        <w:contextualSpacing/>
        <w:jc w:val="both"/>
        <w:rPr>
          <w:sz w:val="24"/>
          <w:sz w:val="24"/>
          <w:szCs w:val="24"/>
          <w:rFonts w:ascii="Times New Roman" w:hAnsi="Times New Roman" w:eastAsia="Calibri" w:cs="" w:cstheme="minorBidi" w:eastAsiaTheme="minorHAnsi"/>
          <w:color w:val="00000A"/>
          <w:lang w:val="lv-LV" w:eastAsia="en-US" w:bidi="ar-SA"/>
        </w:rPr>
      </w:pPr>
      <w:r>
        <w:rPr>
          <w:rFonts w:eastAsia="Calibri" w:cs="" w:cstheme="minorBidi" w:eastAsiaTheme="minorHAnsi" w:ascii="Times New Roman" w:hAnsi="Times New Roman"/>
          <w:color w:val="00000A"/>
          <w:sz w:val="24"/>
          <w:szCs w:val="24"/>
          <w:lang w:val="lv-LV" w:eastAsia="en-US" w:bidi="ar-SA"/>
        </w:rPr>
      </w:r>
      <w:r/>
    </w:p>
    <w:p>
      <w:pPr>
        <w:pStyle w:val="Normal"/>
        <w:spacing w:lineRule="auto" w:line="240" w:before="0" w:after="86"/>
        <w:contextualSpacing/>
        <w:jc w:val="both"/>
        <w:rPr>
          <w:sz w:val="24"/>
          <w:sz w:val="24"/>
          <w:szCs w:val="24"/>
          <w:rFonts w:ascii="Times New Roman" w:hAnsi="Times New Roman" w:eastAsia="Calibri" w:cs="" w:cstheme="minorBidi" w:eastAsiaTheme="minorHAnsi"/>
          <w:color w:val="00000A"/>
          <w:lang w:val="lv-LV" w:eastAsia="en-US" w:bidi="ar-SA"/>
        </w:rPr>
      </w:pPr>
      <w:r>
        <w:rPr>
          <w:rFonts w:eastAsia="Calibri" w:cs="" w:cstheme="minorBidi" w:eastAsiaTheme="minorHAnsi" w:ascii="Times New Roman" w:hAnsi="Times New Roman"/>
          <w:color w:val="00000A"/>
          <w:sz w:val="24"/>
          <w:szCs w:val="24"/>
          <w:lang w:val="lv-LV" w:eastAsia="en-US" w:bidi="ar-SA"/>
        </w:rPr>
      </w:r>
      <w:r/>
    </w:p>
    <w:p>
      <w:pPr>
        <w:pStyle w:val="Normal"/>
        <w:spacing w:lineRule="auto" w:line="240" w:before="0" w:after="86"/>
        <w:contextualSpacing/>
        <w:jc w:val="both"/>
        <w:rPr>
          <w:sz w:val="24"/>
          <w:sz w:val="24"/>
          <w:szCs w:val="24"/>
          <w:rFonts w:ascii="Times New Roman" w:hAnsi="Times New Roman" w:eastAsia="Calibri" w:cs="" w:cstheme="minorBidi" w:eastAsiaTheme="minorHAnsi"/>
          <w:color w:val="00000A"/>
          <w:lang w:val="lv-LV" w:eastAsia="en-US" w:bidi="ar-SA"/>
        </w:rPr>
      </w:pPr>
      <w:r>
        <w:rPr>
          <w:rFonts w:eastAsia="Calibri" w:cs="" w:cstheme="minorBidi" w:eastAsiaTheme="minorHAnsi" w:ascii="Times New Roman" w:hAnsi="Times New Roman"/>
          <w:color w:val="00000A"/>
          <w:sz w:val="24"/>
          <w:szCs w:val="24"/>
          <w:lang w:val="lv-LV" w:eastAsia="en-US" w:bidi="ar-SA"/>
        </w:rPr>
      </w:r>
      <w:r/>
    </w:p>
    <w:p>
      <w:pPr>
        <w:pStyle w:val="Normal"/>
        <w:spacing w:lineRule="auto" w:line="240" w:before="0" w:after="86"/>
        <w:contextualSpacing/>
        <w:jc w:val="both"/>
        <w:rPr>
          <w:sz w:val="24"/>
          <w:sz w:val="24"/>
          <w:szCs w:val="24"/>
          <w:rFonts w:ascii="Times New Roman" w:hAnsi="Times New Roman" w:eastAsia="Calibri" w:cs="" w:cstheme="minorBidi" w:eastAsiaTheme="minorHAnsi"/>
          <w:color w:val="00000A"/>
          <w:lang w:val="lv-LV" w:eastAsia="en-US" w:bidi="ar-SA"/>
        </w:rPr>
      </w:pPr>
      <w:r>
        <w:rPr>
          <w:rFonts w:eastAsia="Calibri" w:cs="" w:cstheme="minorBidi" w:eastAsiaTheme="minorHAnsi" w:ascii="Times New Roman" w:hAnsi="Times New Roman"/>
          <w:color w:val="00000A"/>
          <w:sz w:val="24"/>
          <w:szCs w:val="24"/>
          <w:lang w:val="lv-LV" w:eastAsia="en-US" w:bidi="ar-SA"/>
        </w:rPr>
      </w:r>
      <w:r/>
    </w:p>
    <w:p>
      <w:pPr>
        <w:pStyle w:val="Normal"/>
        <w:spacing w:lineRule="auto" w:line="240" w:before="0" w:after="86"/>
        <w:contextualSpacing/>
        <w:jc w:val="center"/>
      </w:pPr>
      <w:r>
        <w:rPr>
          <w:rFonts w:ascii="Times New Roman" w:hAnsi="Times New Roman"/>
          <w:sz w:val="24"/>
          <w:szCs w:val="24"/>
        </w:rPr>
        <w:t>Att. 2.5. STM8S003 izstrādes plate un signāla priekšapstrādi vadošie potenciometri.</w:t>
      </w:r>
      <w:r/>
    </w:p>
    <w:p>
      <w:pPr>
        <w:pStyle w:val="Normal"/>
        <w:spacing w:lineRule="auto" w:line="240" w:before="0" w:after="86"/>
        <w:contextualSpacing/>
        <w:jc w:val="center"/>
        <w:rPr>
          <w:sz w:val="24"/>
          <w:sz w:val="24"/>
          <w:szCs w:val="24"/>
          <w:rFonts w:ascii="Times New Roman" w:hAnsi="Times New Roman" w:eastAsia="Calibri" w:cs="" w:cstheme="minorBidi" w:eastAsiaTheme="minorHAnsi"/>
          <w:color w:val="00000A"/>
          <w:lang w:val="lv-LV" w:eastAsia="en-US" w:bidi="ar-SA"/>
        </w:rPr>
      </w:pPr>
      <w:r>
        <w:rPr>
          <w:rFonts w:eastAsia="Calibri" w:cs="" w:cstheme="minorBidi" w:eastAsiaTheme="minorHAnsi" w:ascii="Times New Roman" w:hAnsi="Times New Roman"/>
          <w:color w:val="00000A"/>
          <w:sz w:val="24"/>
          <w:szCs w:val="24"/>
          <w:lang w:val="lv-LV" w:eastAsia="en-US" w:bidi="ar-SA"/>
        </w:rPr>
      </w:r>
      <w:r/>
    </w:p>
    <w:p>
      <w:pPr>
        <w:pStyle w:val="Normal"/>
        <w:spacing w:lineRule="auto" w:line="240" w:before="0" w:after="86"/>
        <w:contextualSpacing/>
        <w:jc w:val="center"/>
        <w:rPr>
          <w:sz w:val="24"/>
          <w:sz w:val="24"/>
          <w:szCs w:val="24"/>
          <w:rFonts w:ascii="Times New Roman" w:hAnsi="Times New Roman" w:eastAsia="Calibri" w:cs="" w:cstheme="minorBidi" w:eastAsiaTheme="minorHAnsi"/>
          <w:color w:val="00000A"/>
          <w:lang w:val="lv-LV" w:eastAsia="en-US" w:bidi="ar-SA"/>
        </w:rPr>
      </w:pPr>
      <w:r>
        <w:rPr>
          <w:rFonts w:eastAsia="Calibri" w:cs="" w:cstheme="minorBidi" w:eastAsiaTheme="minorHAnsi" w:ascii="Times New Roman" w:hAnsi="Times New Roman"/>
          <w:color w:val="00000A"/>
          <w:sz w:val="24"/>
          <w:szCs w:val="24"/>
          <w:lang w:val="lv-LV" w:eastAsia="en-US" w:bidi="ar-SA"/>
        </w:rPr>
        <w:drawing>
          <wp:anchor behindDoc="0" distT="0" distB="0" distL="0" distR="0" simplePos="0" locked="0" layoutInCell="1" allowOverlap="1" relativeHeight="4">
            <wp:simplePos x="0" y="0"/>
            <wp:positionH relativeFrom="column">
              <wp:posOffset>1807210</wp:posOffset>
            </wp:positionH>
            <wp:positionV relativeFrom="paragraph">
              <wp:posOffset>421640</wp:posOffset>
            </wp:positionV>
            <wp:extent cx="1617980" cy="1490980"/>
            <wp:effectExtent l="0" t="0" r="0" b="0"/>
            <wp:wrapTopAndBottom/>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2"/>
                    <a:stretch>
                      <a:fillRect/>
                    </a:stretch>
                  </pic:blipFill>
                  <pic:spPr bwMode="auto">
                    <a:xfrm>
                      <a:off x="0" y="0"/>
                      <a:ext cx="1617980" cy="1490980"/>
                    </a:xfrm>
                    <a:prstGeom prst="rect">
                      <a:avLst/>
                    </a:prstGeom>
                    <a:noFill/>
                    <a:ln w="9525">
                      <a:noFill/>
                      <a:miter lim="800000"/>
                      <a:headEnd/>
                      <a:tailEnd/>
                    </a:ln>
                  </pic:spPr>
                </pic:pic>
              </a:graphicData>
            </a:graphic>
          </wp:anchor>
        </w:drawing>
      </w:r>
      <w:r/>
    </w:p>
    <w:p>
      <w:pPr>
        <w:pStyle w:val="Normal"/>
        <w:spacing w:lineRule="auto" w:line="240" w:before="0" w:after="86"/>
        <w:contextualSpacing/>
        <w:jc w:val="center"/>
      </w:pPr>
      <w:r>
        <w:rPr>
          <w:rFonts w:ascii="Times New Roman" w:hAnsi="Times New Roman"/>
          <w:sz w:val="24"/>
          <w:szCs w:val="24"/>
        </w:rPr>
        <w:t>Att. 2.6. Ekrāns, spektra analizatora darbības laikā.</w:t>
      </w:r>
      <w:r/>
    </w:p>
    <w:p>
      <w:pPr>
        <w:pStyle w:val="Normal"/>
        <w:spacing w:lineRule="auto" w:line="240" w:before="0" w:after="86"/>
        <w:contextualSpacing/>
        <w:jc w:val="both"/>
        <w:rPr>
          <w:sz w:val="24"/>
          <w:sz w:val="24"/>
          <w:szCs w:val="24"/>
          <w:rFonts w:ascii="Times New Roman" w:hAnsi="Times New Roman" w:eastAsia="Calibri" w:cs="" w:cstheme="minorBidi" w:eastAsiaTheme="minorHAnsi"/>
          <w:color w:val="00000A"/>
          <w:lang w:val="lv-LV" w:eastAsia="en-US" w:bidi="ar-SA"/>
        </w:rPr>
      </w:pPr>
      <w:r>
        <w:rPr>
          <w:rFonts w:eastAsia="Calibri" w:cs="" w:cstheme="minorBidi" w:eastAsiaTheme="minorHAnsi" w:ascii="Times New Roman" w:hAnsi="Times New Roman"/>
          <w:color w:val="00000A"/>
          <w:sz w:val="24"/>
          <w:szCs w:val="24"/>
          <w:lang w:val="lv-LV" w:eastAsia="en-US" w:bidi="ar-SA"/>
        </w:rPr>
      </w:r>
      <w:r/>
    </w:p>
    <w:p>
      <w:pPr>
        <w:pStyle w:val="Normal"/>
        <w:spacing w:lineRule="auto" w:line="240" w:before="0" w:after="86"/>
        <w:contextualSpacing/>
        <w:jc w:val="both"/>
      </w:pPr>
      <w:r>
        <w:rPr>
          <w:rFonts w:ascii="Times New Roman" w:hAnsi="Times New Roman"/>
          <w:sz w:val="24"/>
          <w:szCs w:val="24"/>
        </w:rPr>
        <w:tab/>
        <w:t xml:space="preserve">Ekrāna kreisajā pusē tiek attēlotas 32 signāla nolases un labajā pusē tiek uzrādīts spektrs. Tā kā LCD izslēgtu pikseļu izdzišanas ātrums ir samērā zems, vienlaicīgi ekrānā iespējams redzēt vairāk kā vienu nolasi, kas autoram šķita kā noderīgs efekts. </w:t>
      </w:r>
      <w:r/>
    </w:p>
    <w:p>
      <w:pPr>
        <w:pStyle w:val="Normal"/>
        <w:spacing w:lineRule="auto" w:line="240" w:before="0" w:after="86"/>
        <w:contextualSpacing/>
        <w:jc w:val="both"/>
      </w:pPr>
      <w:r>
        <w:rPr>
          <w:rFonts w:ascii="Times New Roman" w:hAnsi="Times New Roman"/>
          <w:sz w:val="24"/>
          <w:szCs w:val="24"/>
        </w:rPr>
        <w:tab/>
        <w:t xml:space="preserve">Demonstrācijas nolūkos gala versijai tika pievienota iespēja pa UART sūtīt uz datoru nolasītos datus un datorā, ar </w:t>
      </w:r>
      <w:r>
        <w:rPr>
          <w:rFonts w:ascii="Times New Roman" w:hAnsi="Times New Roman"/>
          <w:i/>
          <w:iCs/>
          <w:sz w:val="24"/>
          <w:szCs w:val="24"/>
        </w:rPr>
        <w:t xml:space="preserve">python </w:t>
      </w:r>
      <w:r>
        <w:rPr>
          <w:rFonts w:ascii="Times New Roman" w:hAnsi="Times New Roman"/>
          <w:i w:val="false"/>
          <w:iCs w:val="false"/>
          <w:sz w:val="24"/>
          <w:szCs w:val="24"/>
        </w:rPr>
        <w:t>skripta palīdzību tika</w:t>
      </w:r>
      <w:r>
        <w:rPr>
          <w:rFonts w:ascii="Times New Roman" w:hAnsi="Times New Roman"/>
          <w:sz w:val="24"/>
          <w:szCs w:val="24"/>
        </w:rPr>
        <w:t xml:space="preserve"> veikta signāla reproducēšana ar iespēju mainīt pielietoto spektra koeficientu daudzumu.</w:t>
      </w:r>
      <w:r/>
    </w:p>
    <w:p>
      <w:pPr>
        <w:pStyle w:val="Normal"/>
        <w:spacing w:lineRule="auto" w:line="240" w:before="0" w:after="86"/>
        <w:ind w:hanging="0"/>
        <w:contextualSpacing/>
        <w:jc w:val="both"/>
      </w:pPr>
      <w:r>
        <w:rPr>
          <w:rFonts w:ascii="Times New Roman" w:hAnsi="Times New Roman"/>
          <w:b/>
          <w:sz w:val="28"/>
          <w:szCs w:val="28"/>
        </w:rPr>
        <w:tab/>
      </w:r>
      <w:r/>
    </w:p>
    <w:p>
      <w:pPr>
        <w:pStyle w:val="Normal"/>
        <w:spacing w:lineRule="auto" w:line="240" w:before="0" w:after="86"/>
        <w:ind w:hanging="0"/>
        <w:contextualSpacing/>
        <w:jc w:val="both"/>
        <w:rPr>
          <w:sz w:val="28"/>
          <w:b/>
          <w:sz w:val="28"/>
          <w:b/>
          <w:szCs w:val="28"/>
          <w:rFonts w:ascii="Times New Roman" w:hAnsi="Times New Roman"/>
        </w:rPr>
      </w:pPr>
      <w:r>
        <w:rPr/>
      </w:r>
      <w:r/>
    </w:p>
    <w:p>
      <w:pPr>
        <w:pStyle w:val="Normal"/>
        <w:spacing w:lineRule="auto" w:line="240" w:before="0" w:after="86"/>
        <w:ind w:hanging="0"/>
        <w:contextualSpacing/>
        <w:jc w:val="both"/>
      </w:pPr>
      <w:r>
        <w:rPr>
          <w:rFonts w:ascii="Times New Roman" w:hAnsi="Times New Roman"/>
          <w:b/>
          <w:sz w:val="28"/>
          <w:szCs w:val="28"/>
        </w:rPr>
        <w:tab/>
        <w:t>Secinājumi:</w:t>
      </w:r>
      <w:r/>
    </w:p>
    <w:p>
      <w:pPr>
        <w:pStyle w:val="Normal"/>
        <w:spacing w:lineRule="auto" w:line="240" w:before="0" w:after="86"/>
        <w:ind w:hanging="0"/>
        <w:contextualSpacing/>
        <w:jc w:val="both"/>
        <w:rPr>
          <w:sz w:val="28"/>
          <w:b/>
          <w:sz w:val="28"/>
          <w:b/>
          <w:szCs w:val="28"/>
          <w:rFonts w:ascii="Times New Roman" w:hAnsi="Times New Roman"/>
        </w:rPr>
      </w:pPr>
      <w:r>
        <w:rPr/>
      </w:r>
      <w:r/>
    </w:p>
    <w:p>
      <w:pPr>
        <w:pStyle w:val="Normal"/>
        <w:spacing w:lineRule="auto" w:line="240" w:before="0" w:after="86"/>
        <w:ind w:hanging="0"/>
        <w:contextualSpacing/>
        <w:jc w:val="both"/>
      </w:pPr>
      <w:r>
        <w:rPr>
          <w:rFonts w:ascii="Times New Roman" w:hAnsi="Times New Roman"/>
          <w:b/>
          <w:sz w:val="28"/>
          <w:szCs w:val="28"/>
        </w:rPr>
        <w:tab/>
      </w:r>
      <w:r>
        <w:rPr>
          <w:rFonts w:ascii="Times New Roman" w:hAnsi="Times New Roman"/>
          <w:b w:val="false"/>
          <w:bCs w:val="false"/>
          <w:sz w:val="24"/>
          <w:szCs w:val="24"/>
        </w:rPr>
        <w:t xml:space="preserve">Volša funkcijas ir izmantojamas ātrai diskrētu signālu aprakstīšanai un nodrošina signāla lecienu īsāku aprakstu, nekā Furjē transformācijas rezultātā iegūtas rindas. </w:t>
      </w:r>
      <w:r/>
    </w:p>
    <w:p>
      <w:pPr>
        <w:pStyle w:val="Normal"/>
        <w:spacing w:lineRule="auto" w:line="240" w:before="0" w:after="86"/>
        <w:ind w:hanging="0"/>
        <w:contextualSpacing/>
        <w:jc w:val="both"/>
      </w:pPr>
      <w:r>
        <w:rPr>
          <w:rFonts w:ascii="Times New Roman" w:hAnsi="Times New Roman"/>
          <w:b w:val="false"/>
          <w:bCs w:val="false"/>
          <w:sz w:val="24"/>
          <w:szCs w:val="24"/>
        </w:rPr>
        <w:tab/>
        <w:t>Autors spriež, ka būtu interesanti Volša funkciju bāzē realizēt kādus ierastus signālu sistēmu elementus, piemēram filtrs Volša funkciju bāzē varētu likt mūzikas instrumentiem skanēt diezgan eksotiski.</w:t>
      </w:r>
      <w:r/>
    </w:p>
    <w:p>
      <w:pPr>
        <w:pStyle w:val="Normal"/>
        <w:spacing w:lineRule="auto" w:line="240" w:before="0" w:after="86"/>
        <w:ind w:hanging="0"/>
        <w:contextualSpacing/>
        <w:jc w:val="both"/>
      </w:pPr>
      <w:r>
        <w:rPr>
          <w:rFonts w:ascii="Times New Roman" w:hAnsi="Times New Roman"/>
          <w:b w:val="false"/>
          <w:bCs w:val="false"/>
          <w:sz w:val="24"/>
          <w:szCs w:val="24"/>
        </w:rPr>
        <w:tab/>
        <w:t xml:space="preserve">Spektra analizators būtu papildināms ar labāk optimizētu FWHT algoritmu un spektra apstrādi reālā laikā, nevis secīgu nolašu-&gt;apstrādes-&gt;indikācijas ciklu – tas arī pavērtu iespējas ieviest kādu signālu apstrādes elementu un attiecīgi apstrādāto signālu izvadīt. </w:t>
      </w:r>
      <w:r/>
    </w:p>
    <w:sectPr>
      <w:type w:val="nextPage"/>
      <w:pgSz w:w="11906" w:h="16838"/>
      <w:pgMar w:left="1800" w:right="180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lv-LV"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lv-LV"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a4054a"/>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lv-LV" w:eastAsia="en-US" w:bidi="ar-SA"/>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MTDisplayEquationChar" w:customStyle="1">
    <w:name w:val="MTDisplayEquation Char"/>
    <w:basedOn w:val="DefaultParagraphFont"/>
    <w:link w:val="MTDisplayEquation"/>
    <w:rsid w:val="00a4054a"/>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MTDisplayEquation" w:customStyle="1">
    <w:name w:val="MTDisplayEquation"/>
    <w:basedOn w:val="Normal"/>
    <w:next w:val="Normal"/>
    <w:link w:val="MTDisplayEquationChar"/>
    <w:rsid w:val="00a4054a"/>
    <w:pPr>
      <w:tabs>
        <w:tab w:val="center" w:pos="4160" w:leader="none"/>
        <w:tab w:val="right" w:pos="8300" w:leader="none"/>
      </w:tabs>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oleObject" Target="embeddings/oleObject1.bin"/><Relationship Id="rId4" Type="http://schemas.openxmlformats.org/officeDocument/2006/relationships/image" Target="media/image2.emf"/><Relationship Id="rId5" Type="http://schemas.openxmlformats.org/officeDocument/2006/relationships/image" Target="media/image3.png"/><Relationship Id="rId6" Type="http://schemas.openxmlformats.org/officeDocument/2006/relationships/hyperlink" Target="http://en.wikipedia.org/wiki/User:Timato" TargetMode="External"/><Relationship Id="rId7" Type="http://schemas.openxmlformats.org/officeDocument/2006/relationships/hyperlink" Target="http://creativecommons.org/licenses/by/2.0/" TargetMode="External"/><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6033</TotalTime>
  <Application>LibreOffice/4.3.3.2$Linux_X86_64 LibreOffice_project/430m0$Build-2</Application>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2014-09-23T05:29:00Z</dcterms:created>
  <dc:creator>Armands A</dc:creator>
  <dc:language>en-US</dc:language>
  <cp:lastModifiedBy>Linards Jukmanis</cp:lastModifiedBy>
  <dcterms:modified xsi:type="dcterms:W3CDTF">2014-12-20T18:45:11Z</dcterms:modified>
  <cp:revision>28</cp:revision>
</cp:coreProperties>
</file>