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C6" w:rsidRDefault="0011168B" w:rsidP="00E071C6">
      <w:pPr>
        <w:jc w:val="center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MACROBUTTON MTEditEquationSection2 </w:instrText>
      </w:r>
      <w:r w:rsidRPr="0011168B">
        <w:rPr>
          <w:rStyle w:val="MTEquationSection"/>
        </w:rPr>
        <w:instrText>Equation Chapter 1 Section 1</w:instrTex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MTEqn \r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MTSec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MTChap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end"/>
      </w:r>
      <w:r w:rsidR="00E071C6">
        <w:rPr>
          <w:b/>
          <w:sz w:val="28"/>
        </w:rPr>
        <w:t>Laboratorijas darbs Nr.3</w:t>
      </w:r>
      <w:r w:rsidR="00E071C6" w:rsidRPr="00BF5EA5">
        <w:rPr>
          <w:b/>
          <w:sz w:val="28"/>
        </w:rPr>
        <w:t>.</w:t>
      </w:r>
    </w:p>
    <w:p w:rsidR="00D87A35" w:rsidRDefault="00E071C6">
      <w:r>
        <w:t>Darba uzdevums:</w:t>
      </w:r>
    </w:p>
    <w:p w:rsidR="00E071C6" w:rsidRDefault="00E071C6">
      <w:r>
        <w:t>Izpētīt taisnstūra loga platuma iespaidu uz spektra analīzes precizitāti</w:t>
      </w:r>
    </w:p>
    <w:p w:rsidR="00E071C6" w:rsidRDefault="00E071C6">
      <w:r>
        <w:t>Blokshēma</w:t>
      </w:r>
      <w:r w:rsidR="006F7CAA">
        <w:rPr>
          <w:noProof/>
          <w:lang w:eastAsia="lv-LV"/>
        </w:rPr>
        <mc:AlternateContent>
          <mc:Choice Requires="wpc">
            <w:drawing>
              <wp:inline distT="0" distB="0" distL="0" distR="0">
                <wp:extent cx="5328920" cy="2260757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5" name="Text Box 5"/>
                        <wps:cNvSpPr txBox="1"/>
                        <wps:spPr>
                          <a:xfrm>
                            <a:off x="461990" y="965188"/>
                            <a:ext cx="1066801" cy="437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53C" w:rsidRDefault="007D753C" w:rsidP="0015258A">
                              <w:pPr>
                                <w:spacing w:after="0"/>
                                <w:jc w:val="center"/>
                              </w:pPr>
                              <w:r>
                                <w:t>Zināma signāla nolases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5"/>
                        <wps:cNvSpPr txBox="1"/>
                        <wps:spPr>
                          <a:xfrm>
                            <a:off x="1890117" y="965487"/>
                            <a:ext cx="459052" cy="437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53C" w:rsidRDefault="007D753C" w:rsidP="0015258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5"/>
                        <wps:cNvSpPr txBox="1"/>
                        <wps:spPr>
                          <a:xfrm>
                            <a:off x="1528791" y="112196"/>
                            <a:ext cx="1184606" cy="658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53C" w:rsidRDefault="007D753C" w:rsidP="0015258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Taisnstūra logs ar noteiktu platumu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1528791" y="1183942"/>
                            <a:ext cx="361326" cy="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5"/>
                        <wps:cNvSpPr txBox="1"/>
                        <wps:spPr>
                          <a:xfrm>
                            <a:off x="2712992" y="1507974"/>
                            <a:ext cx="1185950" cy="436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53C" w:rsidRDefault="007D753C" w:rsidP="00E0628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>
                          <a:stCxn id="5" idx="2"/>
                          <a:endCxn id="11" idx="1"/>
                        </wps:cNvCnPr>
                        <wps:spPr>
                          <a:xfrm rot="16200000" flipH="1">
                            <a:off x="1692332" y="705753"/>
                            <a:ext cx="323719" cy="17176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8" idx="2"/>
                          <a:endCxn id="7" idx="0"/>
                        </wps:cNvCnPr>
                        <wps:spPr>
                          <a:xfrm flipH="1">
                            <a:off x="2119643" y="770396"/>
                            <a:ext cx="1451" cy="195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5"/>
                        <wps:cNvSpPr txBox="1"/>
                        <wps:spPr>
                          <a:xfrm>
                            <a:off x="2713397" y="965188"/>
                            <a:ext cx="1185545" cy="436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53C" w:rsidRDefault="007D753C" w:rsidP="00E0628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7" idx="3"/>
                          <a:endCxn id="17" idx="1"/>
                        </wps:cNvCnPr>
                        <wps:spPr>
                          <a:xfrm flipV="1">
                            <a:off x="2349169" y="1183628"/>
                            <a:ext cx="364228" cy="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5"/>
                        <wps:cNvSpPr txBox="1"/>
                        <wps:spPr>
                          <a:xfrm>
                            <a:off x="4129310" y="966749"/>
                            <a:ext cx="840987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53C" w:rsidRDefault="007D753C" w:rsidP="00E0628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Grafisks attēlojums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5"/>
                        <wps:cNvSpPr txBox="1"/>
                        <wps:spPr>
                          <a:xfrm>
                            <a:off x="4129557" y="1509625"/>
                            <a:ext cx="840740" cy="435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53C" w:rsidRDefault="007D753C" w:rsidP="00E0628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Grafisks attēlojums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3898942" y="1183546"/>
                            <a:ext cx="230368" cy="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endCxn id="20" idx="1"/>
                        </wps:cNvCnPr>
                        <wps:spPr>
                          <a:xfrm>
                            <a:off x="3898942" y="1726305"/>
                            <a:ext cx="230615" cy="1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19.6pt;height:178pt;mso-position-horizontal-relative:char;mso-position-vertical-relative:line" coordsize="53289,2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289;height:2260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4619;top:9651;width:10668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7D753C" w:rsidRDefault="007D753C" w:rsidP="0015258A">
                        <w:pPr>
                          <w:spacing w:after="0"/>
                          <w:jc w:val="center"/>
                        </w:pPr>
                        <w:r>
                          <w:t>Zināma signāla nolases</w:t>
                        </w:r>
                      </w:p>
                    </w:txbxContent>
                  </v:textbox>
                </v:shape>
                <v:shape id="Text Box 5" o:spid="_x0000_s1029" type="#_x0000_t202" style="position:absolute;left:18901;top:9654;width:4590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EIMMA&#10;AADaAAAADwAAAGRycy9kb3ducmV2LnhtbESPQWsCMRSE74X+h/AKvWlWKa5sjdJKRaUnV9vzY/O6&#10;G9y8rEmq6783BaHHYWa+YWaL3rbiTD4YxwpGwwwEceW04VrBYb8aTEGEiKyxdUwKrhRgMX98mGGh&#10;3YV3dC5jLRKEQ4EKmhi7QspQNWQxDF1HnLwf5y3GJH0ttcdLgttWjrNsIi0aTgsNdrRsqDqWv1bB&#10;6cvvX0bm43vVbktzyo+f72vMlXp+6t9eQUTq43/43t5oBTn8XU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EIMMAAADaAAAADwAAAAAAAAAAAAAAAACYAgAAZHJzL2Rv&#10;d25yZXYueG1sUEsFBgAAAAAEAAQA9QAAAIgDAAAAAA==&#10;" fillcolor="white [3201]" strokeweight=".5pt">
                  <v:textbox>
                    <w:txbxContent>
                      <w:p w:rsidR="007D753C" w:rsidRDefault="007D753C" w:rsidP="0015258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5" o:spid="_x0000_s1030" type="#_x0000_t202" style="position:absolute;left:15287;top:1121;width:11846;height: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QUsEA&#10;AADaAAAADwAAAGRycy9kb3ducmV2LnhtbERPW2vCMBR+H/gfwhF8m6lD5qjGojLZxp5WL8+H5tiG&#10;Nic1ybT798vDYI8f331VDLYTN/LBOFYwm2YgiCunDdcKjof94wuIEJE1do5JwQ8FKNajhxXm2t35&#10;i25lrEUK4ZCjgibGPpcyVA1ZDFPXEyfu4rzFmKCvpfZ4T+G2k09Z9iwtGk4NDfa0a6hqy2+r4Hry&#10;h/nMvJ733Udprov2c/uGC6Um42GzBBFpiP/iP/e7VpC2pivpBs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VEFLBAAAA2gAAAA8AAAAAAAAAAAAAAAAAmAIAAGRycy9kb3du&#10;cmV2LnhtbFBLBQYAAAAABAAEAPUAAACGAwAAAAA=&#10;" fillcolor="white [3201]" strokeweight=".5pt">
                  <v:textbox>
                    <w:txbxContent>
                      <w:p w:rsidR="007D753C" w:rsidRDefault="007D753C" w:rsidP="0015258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Taisnstūra logs ar noteiktu platumu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5287;top:11839;width:3614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Text Box 5" o:spid="_x0000_s1032" type="#_x0000_t202" style="position:absolute;left:27129;top:15079;width:1186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uicEA&#10;AADbAAAADwAAAGRycy9kb3ducmV2LnhtbERPTWsCMRC9C/0PYQq91exKUdkapZWKSk+utudhM90N&#10;biZrkur6702h4G0e73Nmi9624kw+GMcK8mEGgrhy2nCt4LBfPU9BhIissXVMCq4UYDF/GMyw0O7C&#10;OzqXsRYphEOBCpoYu0LKUDVkMQxdR5y4H+ctxgR9LbXHSwq3rRxl2VhaNJwaGuxo2VB1LH+tgtOX&#10;37/k5uN71W5Lc5ocP9/XOFHq6bF/ewURqY938b9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w7onBAAAA2wAAAA8AAAAAAAAAAAAAAAAAmAIAAGRycy9kb3du&#10;cmV2LnhtbFBLBQYAAAAABAAEAPUAAACGAwAAAAA=&#10;" fillcolor="white [3201]" strokeweight=".5pt">
                  <v:textbox>
                    <w:txbxContent>
                      <w:p w:rsidR="007D753C" w:rsidRDefault="007D753C" w:rsidP="00E0628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FFT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0" o:spid="_x0000_s1033" type="#_x0000_t33" style="position:absolute;left:16922;top:7057;width:3238;height:171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Yt8QAAADbAAAADwAAAGRycy9kb3ducmV2LnhtbESPQYvCQAyF74L/YciCN53uglKqo4gg&#10;LHgQ3UXqLXRiW9rJlM6o9d+bw8LeEt7Le19Wm8G16kF9qD0b+JwloIgLb2suDfz+7KcpqBCRLbae&#10;ycCLAmzW49EKM+uffKLHOZZKQjhkaKCKscu0DkVFDsPMd8Si3XzvMMral9r2+JRw1+qvJFlohzVL&#10;Q4Ud7SoqmvPdGdhd8rxtjs12kc7zY3q4dM3tdTVm8jFsl6AiDfHf/Hf9bQVf6OUXGUCv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Ni3xAAAANsAAAAPAAAAAAAAAAAA&#10;AAAAAKECAABkcnMvZG93bnJldi54bWxQSwUGAAAAAAQABAD5AAAAkgMAAAAA&#10;" strokecolor="black [3200]" strokeweight=".5pt">
                  <v:stroke endarrow="block"/>
                </v:shape>
                <v:shape id="Straight Arrow Connector 15" o:spid="_x0000_s1034" type="#_x0000_t32" style="position:absolute;left:21196;top:7703;width:14;height:19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Text Box 5" o:spid="_x0000_s1035" type="#_x0000_t202" style="position:absolute;left:27133;top:9651;width:11856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TZsEA&#10;AADbAAAADwAAAGRycy9kb3ducmV2LnhtbERPTWsCMRC9F/ofwhR606xSXNkapZWKSk+utudhM90N&#10;biZrkur6701B6G0e73Nmi9624kw+GMcKRsMMBHHltOFawWG/GkxBhIissXVMCq4UYDF/fJhhod2F&#10;d3QuYy1SCIcCFTQxdoWUoWrIYhi6jjhxP85bjAn6WmqPlxRuWznOsom0aDg1NNjRsqHqWP5aBacv&#10;v38ZmY/vVbstzSk/fr6vMVfq+al/ewURqY//4rt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V02bBAAAA2wAAAA8AAAAAAAAAAAAAAAAAmAIAAGRycy9kb3du&#10;cmV2LnhtbFBLBQYAAAAABAAEAPUAAACGAwAAAAA=&#10;" fillcolor="white [3201]" strokeweight=".5pt">
                  <v:textbox>
                    <w:txbxContent>
                      <w:p w:rsidR="007D753C" w:rsidRDefault="007D753C" w:rsidP="00E0628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FFT</w:t>
                        </w:r>
                      </w:p>
                    </w:txbxContent>
                  </v:textbox>
                </v:shape>
                <v:shape id="Straight Arrow Connector 16" o:spid="_x0000_s1036" type="#_x0000_t32" style="position:absolute;left:23491;top:11836;width:3642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 id="Text Box 5" o:spid="_x0000_s1037" type="#_x0000_t202" style="position:absolute;left:41293;top:9667;width:8409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ij8IA&#10;AADbAAAADwAAAGRycy9kb3ducmV2LnhtbERPTWsCMRC9C/6HMAVvmlWktqtRtFTa4sm19TxsprvB&#10;zWRNUt3++6YgeJvH+5zFqrONuJAPxrGC8SgDQVw6bbhS8HnYDp9AhIissXFMCn4pwGrZ7y0w1+7K&#10;e7oUsRIphEOOCuoY21zKUNZkMYxcS5y4b+ctxgR9JbXHawq3jZxk2aO0aDg11NjSS03lqfixCs5f&#10;/jAdm9fjtvkozHl22m3ecKbU4KFbz0FE6uJdfHO/6zT/Gf5/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uKPwgAAANsAAAAPAAAAAAAAAAAAAAAAAJgCAABkcnMvZG93&#10;bnJldi54bWxQSwUGAAAAAAQABAD1AAAAhwMAAAAA&#10;" fillcolor="white [3201]" strokeweight=".5pt">
                  <v:textbox>
                    <w:txbxContent>
                      <w:p w:rsidR="007D753C" w:rsidRDefault="007D753C" w:rsidP="00E0628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Grafisks attēlojums</w:t>
                        </w:r>
                      </w:p>
                    </w:txbxContent>
                  </v:textbox>
                </v:shape>
                <v:shape id="Text Box 5" o:spid="_x0000_s1038" type="#_x0000_t202" style="position:absolute;left:41295;top:15096;width:8407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Br8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Wpy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Qga/BAAAA2wAAAA8AAAAAAAAAAAAAAAAAmAIAAGRycy9kb3du&#10;cmV2LnhtbFBLBQYAAAAABAAEAPUAAACGAwAAAAA=&#10;" fillcolor="white [3201]" strokeweight=".5pt">
                  <v:textbox>
                    <w:txbxContent>
                      <w:p w:rsidR="007D753C" w:rsidRDefault="007D753C" w:rsidP="00E0628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Grafisks attēlojums</w:t>
                        </w:r>
                      </w:p>
                    </w:txbxContent>
                  </v:textbox>
                </v:shape>
                <v:shape id="Straight Arrow Connector 18" o:spid="_x0000_s1039" type="#_x0000_t32" style="position:absolute;left:38989;top:11835;width:2304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1" o:spid="_x0000_s1040" type="#_x0000_t32" style="position:absolute;left:38989;top:17263;width:2306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F2F4F" w:rsidRDefault="004A74AB">
      <w:r>
        <w:t>Blokshēmas realizācija</w:t>
      </w:r>
    </w:p>
    <w:p w:rsidR="004A74AB" w:rsidRDefault="004A74AB">
      <w:r>
        <w:t>Blokshēma tika realizēta izmantojot “</w:t>
      </w:r>
      <w:proofErr w:type="spellStart"/>
      <w:r>
        <w:t>Python</w:t>
      </w:r>
      <w:proofErr w:type="spellEnd"/>
      <w:r>
        <w:t xml:space="preserve">”  programmu, kas papildināta ar grafisko interfeisu, lai varētu ērti mainīt loga platumu un novērot izmaiņu sekas. </w:t>
      </w:r>
    </w:p>
    <w:p w:rsidR="004A74AB" w:rsidRDefault="00D12299">
      <w:r>
        <w:t>Tā kā izpildot DFT (</w:t>
      </w:r>
      <w:proofErr w:type="spellStart"/>
      <w:r>
        <w:t>Disktrēto</w:t>
      </w:r>
      <w:proofErr w:type="spellEnd"/>
      <w:r>
        <w:t xml:space="preserve"> </w:t>
      </w:r>
      <w:proofErr w:type="spellStart"/>
      <w:r>
        <w:t>Furjē</w:t>
      </w:r>
      <w:proofErr w:type="spellEnd"/>
      <w:r>
        <w:t xml:space="preserve"> Transformāciju) signāls vienmēr tiek ierobežots, v</w:t>
      </w:r>
      <w:r w:rsidR="002876CB">
        <w:t>eicot darbu, iedomājāmies, ka būtībā tā</w:t>
      </w:r>
      <w:r>
        <w:t xml:space="preserve"> ir</w:t>
      </w:r>
      <w:r w:rsidR="002876CB">
        <w:t xml:space="preserve"> automātiska signāla logošana ar taisnstūra logu, kura platums sakrīt ar ierobežotā signāla garumu.  Lai papētītu, kā signālu ietekmē arī šāda veida ierobežošana, programmā iekļāvām aprēķinus</w:t>
      </w:r>
      <w:r w:rsidR="00C03B64">
        <w:t xml:space="preserve"> ar divu veidu taisnstūra logiem:</w:t>
      </w:r>
    </w:p>
    <w:p w:rsidR="00C03B64" w:rsidRDefault="00C03B64" w:rsidP="00C03B64">
      <w:pPr>
        <w:pStyle w:val="ListParagraph"/>
        <w:numPr>
          <w:ilvl w:val="0"/>
          <w:numId w:val="1"/>
        </w:numPr>
      </w:pPr>
      <w:r>
        <w:t>Logs, kuram platums tiek mainīts manot signāla novērošanas laiku,</w:t>
      </w:r>
    </w:p>
    <w:p w:rsidR="00C03B64" w:rsidRDefault="00C03B64" w:rsidP="00C03B64">
      <w:pPr>
        <w:pStyle w:val="ListParagraph"/>
        <w:numPr>
          <w:ilvl w:val="0"/>
          <w:numId w:val="1"/>
        </w:numPr>
      </w:pPr>
      <w:r>
        <w:t>Logs, kurš nemaina signāla novērošanas laiku, taču samazinoties platumam, tas signāla vērtības pakāpeniski aizstāj ar nullēm.</w:t>
      </w:r>
    </w:p>
    <w:p w:rsidR="00C03B64" w:rsidRDefault="00C03B64" w:rsidP="00C03B64">
      <w:r>
        <w:t>Novērotais signāls</w:t>
      </w:r>
    </w:p>
    <w:p w:rsidR="0011168B" w:rsidRDefault="0087055A" w:rsidP="0011168B">
      <w:r>
        <w:t>Par signālu izvēlējāmies trīs pēc kārtas sekojošu</w:t>
      </w:r>
      <w:r w:rsidR="007D753C">
        <w:t xml:space="preserve"> </w:t>
      </w:r>
      <w:r w:rsidR="00DB42D7">
        <w:t>harmonisku svārstību summu</w:t>
      </w:r>
      <w:r>
        <w:t xml:space="preserve"> ar atšķirīgām amplitūdām</w:t>
      </w:r>
      <w:r w:rsidR="0011168B">
        <w:t xml:space="preserve"> (1. att.)</w:t>
      </w:r>
      <w:r w:rsidR="00DB42D7">
        <w:t>, kas ļautu novērtēt, kā loga platums ietekmē</w:t>
      </w:r>
      <w:r>
        <w:t xml:space="preserve"> signāla</w:t>
      </w:r>
      <w:r w:rsidR="00DB42D7">
        <w:t xml:space="preserve"> spektra izš</w:t>
      </w:r>
      <w:r w:rsidR="0011168B">
        <w:t xml:space="preserve">ķirtspēju. </w:t>
      </w:r>
      <w:r w:rsidR="00D12299">
        <w:t xml:space="preserve">Vispārīgi </w:t>
      </w:r>
      <w:r w:rsidR="0011168B">
        <w:t xml:space="preserve">Izmantoto signālu </w:t>
      </w:r>
      <w:r w:rsidR="00D12299">
        <w:t>apraksta sekojoša formula</w:t>
      </w:r>
      <w:r w:rsidR="0011168B">
        <w:t>:</w:t>
      </w:r>
    </w:p>
    <w:p w:rsidR="00D12299" w:rsidRPr="00D12299" w:rsidRDefault="0011168B" w:rsidP="00D12299">
      <w:pPr>
        <w:pStyle w:val="MTDisplayEquation"/>
      </w:pPr>
      <w:r>
        <w:tab/>
      </w:r>
      <w:r w:rsidR="00BE2D72" w:rsidRPr="0011168B">
        <w:rPr>
          <w:position w:val="-24"/>
        </w:rPr>
        <w:object w:dxaOrig="3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25pt;height:28.2pt" o:ole="">
            <v:imagedata r:id="rId6" o:title=""/>
          </v:shape>
          <o:OLEObject Type="Embed" ProgID="Equation.DSMT4" ShapeID="_x0000_i1025" DrawAspect="Content" ObjectID="_1480589537" r:id="rId7"/>
        </w:object>
      </w:r>
      <w:r w:rsidR="00D12299">
        <w:t xml:space="preserve">,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94547">
        <w:fldChar w:fldCharType="begin"/>
      </w:r>
      <w:r w:rsidR="00994547">
        <w:instrText xml:space="preserve"> SEQ MTSec \c \* Arabic \* MERGEFORMAT </w:instrText>
      </w:r>
      <w:r w:rsidR="00994547">
        <w:fldChar w:fldCharType="separate"/>
      </w:r>
      <w:r w:rsidR="00827660">
        <w:rPr>
          <w:noProof/>
        </w:rPr>
        <w:instrText>1</w:instrText>
      </w:r>
      <w:r w:rsidR="00994547">
        <w:rPr>
          <w:noProof/>
        </w:rPr>
        <w:fldChar w:fldCharType="end"/>
      </w:r>
      <w:r>
        <w:instrText>.</w:instrText>
      </w:r>
      <w:r w:rsidR="00994547">
        <w:fldChar w:fldCharType="begin"/>
      </w:r>
      <w:r w:rsidR="00994547">
        <w:instrText xml:space="preserve"> SEQ MTEqn \c \* Arabic \* MERGEFORMAT </w:instrText>
      </w:r>
      <w:r w:rsidR="00994547">
        <w:fldChar w:fldCharType="separate"/>
      </w:r>
      <w:r w:rsidR="00827660">
        <w:rPr>
          <w:noProof/>
        </w:rPr>
        <w:instrText>1</w:instrText>
      </w:r>
      <w:r w:rsidR="00994547">
        <w:rPr>
          <w:noProof/>
        </w:rPr>
        <w:fldChar w:fldCharType="end"/>
      </w:r>
      <w:r>
        <w:instrText>)</w:instrText>
      </w:r>
      <w:r>
        <w:fldChar w:fldCharType="end"/>
      </w:r>
      <w:r w:rsidR="00B83A46">
        <w:t xml:space="preserve"> </w:t>
      </w:r>
    </w:p>
    <w:p w:rsidR="0011168B" w:rsidRDefault="0087055A" w:rsidP="0011168B">
      <w:pPr>
        <w:jc w:val="center"/>
      </w:pPr>
      <w:r w:rsidRPr="0087055A">
        <w:rPr>
          <w:noProof/>
          <w:lang w:eastAsia="lv-LV"/>
        </w:rPr>
        <w:lastRenderedPageBreak/>
        <w:drawing>
          <wp:inline distT="0" distB="0" distL="0" distR="0">
            <wp:extent cx="5274310" cy="3955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8B" w:rsidRDefault="0011168B" w:rsidP="0011168B">
      <w:pPr>
        <w:pStyle w:val="ListParagraph"/>
        <w:numPr>
          <w:ilvl w:val="0"/>
          <w:numId w:val="2"/>
        </w:numPr>
        <w:jc w:val="center"/>
      </w:pPr>
      <w:r>
        <w:t xml:space="preserve">att. </w:t>
      </w:r>
      <w:r w:rsidR="0087055A">
        <w:t>Analizējamā signāla viens periods</w:t>
      </w:r>
    </w:p>
    <w:p w:rsidR="004C79E2" w:rsidRDefault="00E74187" w:rsidP="0087055A">
      <w:pPr>
        <w:ind w:left="360"/>
      </w:pPr>
      <w:proofErr w:type="spellStart"/>
      <w:r>
        <w:t>Kontinuāliem</w:t>
      </w:r>
      <w:proofErr w:type="spellEnd"/>
      <w:r>
        <w:t xml:space="preserve"> signāliem</w:t>
      </w:r>
    </w:p>
    <w:p w:rsidR="004C79E2" w:rsidRDefault="00A440E4" w:rsidP="0087055A">
      <w:pPr>
        <w:ind w:left="360"/>
      </w:pPr>
      <w:r>
        <w:t>Ir zināms</w:t>
      </w:r>
      <w:r w:rsidR="004C79E2">
        <w:t>,</w:t>
      </w:r>
      <w:r>
        <w:t xml:space="preserve"> ka</w:t>
      </w:r>
      <w:r w:rsidR="004C79E2">
        <w:t xml:space="preserve"> divu signāl</w:t>
      </w:r>
      <w:r>
        <w:t>u reizinājuma spektrālais blīvums ir vienāds ar šo signālu spektru kompozīciju, tātad logota signāla spektrālais blīvums būs vienāds ar analizējamā signāla un loga</w:t>
      </w:r>
      <w:r w:rsidR="002B7B2B">
        <w:t xml:space="preserve"> funkcijas spektru kompozīciju.</w:t>
      </w:r>
    </w:p>
    <w:p w:rsidR="002B7B2B" w:rsidRDefault="00C2012C" w:rsidP="002B7B2B">
      <w:pPr>
        <w:ind w:left="360"/>
      </w:pPr>
      <w:r>
        <w:t>Izvēlētā a</w:t>
      </w:r>
      <w:r w:rsidR="002B7B2B">
        <w:t>nalizējamā signāla spektrālais blīvums:</w:t>
      </w:r>
    </w:p>
    <w:p w:rsidR="002B7B2B" w:rsidRDefault="002B7B2B" w:rsidP="002B7B2B">
      <w:pPr>
        <w:pStyle w:val="MTDisplayEquation"/>
      </w:pPr>
      <w:r>
        <w:tab/>
      </w:r>
      <w:r w:rsidR="00C2012C" w:rsidRPr="002B7B2B">
        <w:rPr>
          <w:position w:val="-24"/>
        </w:rPr>
        <w:object w:dxaOrig="4480" w:dyaOrig="620">
          <v:shape id="_x0000_i1026" type="#_x0000_t75" style="width:223.5pt;height:31.7pt" o:ole="">
            <v:imagedata r:id="rId9" o:title=""/>
          </v:shape>
          <o:OLEObject Type="Embed" ProgID="Equation.DSMT4" ShapeID="_x0000_i1026" DrawAspect="Content" ObjectID="_1480589538" r:id="rId10"/>
        </w:object>
      </w:r>
      <w:r w:rsidR="00C2012C">
        <w:t>,</w: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94547">
        <w:fldChar w:fldCharType="begin"/>
      </w:r>
      <w:r w:rsidR="00994547">
        <w:instrText xml:space="preserve"> SEQ MTSec \c \* Arabic \* MERGEFORMAT </w:instrText>
      </w:r>
      <w:r w:rsidR="00994547">
        <w:fldChar w:fldCharType="separate"/>
      </w:r>
      <w:r w:rsidR="00827660">
        <w:rPr>
          <w:noProof/>
        </w:rPr>
        <w:instrText>1</w:instrText>
      </w:r>
      <w:r w:rsidR="00994547">
        <w:rPr>
          <w:noProof/>
        </w:rPr>
        <w:fldChar w:fldCharType="end"/>
      </w:r>
      <w:r>
        <w:instrText>.</w:instrText>
      </w:r>
      <w:r w:rsidR="00994547">
        <w:fldChar w:fldCharType="begin"/>
      </w:r>
      <w:r w:rsidR="00994547">
        <w:instrText xml:space="preserve"> SEQ MTEqn \c \* Arabic \* MERGEFORMAT </w:instrText>
      </w:r>
      <w:r w:rsidR="00994547">
        <w:fldChar w:fldCharType="separate"/>
      </w:r>
      <w:r w:rsidR="00827660">
        <w:rPr>
          <w:noProof/>
        </w:rPr>
        <w:instrText>2</w:instrText>
      </w:r>
      <w:r w:rsidR="00994547">
        <w:rPr>
          <w:noProof/>
        </w:rPr>
        <w:fldChar w:fldCharType="end"/>
      </w:r>
      <w:r>
        <w:instrText>)</w:instrText>
      </w:r>
      <w:r>
        <w:fldChar w:fldCharType="end"/>
      </w:r>
    </w:p>
    <w:p w:rsidR="00A440E4" w:rsidRDefault="00827660" w:rsidP="0087055A">
      <w:pPr>
        <w:ind w:left="360"/>
      </w:pPr>
      <w:r>
        <w:t>Taisnstūra loga spektrālais blīvums:</w:t>
      </w:r>
    </w:p>
    <w:p w:rsidR="00827660" w:rsidRDefault="00827660" w:rsidP="00827660">
      <w:pPr>
        <w:pStyle w:val="MTDisplayEquation"/>
      </w:pPr>
      <w:r>
        <w:tab/>
      </w:r>
      <w:r w:rsidRPr="00827660">
        <w:rPr>
          <w:position w:val="-28"/>
        </w:rPr>
        <w:object w:dxaOrig="2240" w:dyaOrig="680">
          <v:shape id="_x0000_i1027" type="#_x0000_t75" style="width:111.75pt;height:34pt" o:ole="">
            <v:imagedata r:id="rId11" o:title=""/>
          </v:shape>
          <o:OLEObject Type="Embed" ProgID="Equation.DSMT4" ShapeID="_x0000_i1027" DrawAspect="Content" ObjectID="_1480589539" r:id="rId12"/>
        </w:object>
      </w:r>
      <w:r w:rsidR="00C2012C">
        <w:t>,</w: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2012C" w:rsidRPr="00C2012C" w:rsidRDefault="00C2012C" w:rsidP="00C2012C">
      <w:r>
        <w:t>kur:</w:t>
      </w:r>
      <w:r>
        <w:br/>
      </w:r>
      <w:proofErr w:type="spellStart"/>
      <w:r>
        <w:t>S</w:t>
      </w:r>
      <w:r>
        <w:rPr>
          <w:vertAlign w:val="subscript"/>
        </w:rPr>
        <w:t>m</w:t>
      </w:r>
      <w:proofErr w:type="spellEnd"/>
      <w:r>
        <w:t xml:space="preserve"> – taisnstūra  loga augstums,</w:t>
      </w:r>
      <w:r>
        <w:br/>
      </w:r>
      <w:r w:rsidRPr="00C2012C">
        <w:rPr>
          <w:position w:val="-6"/>
        </w:rPr>
        <w:object w:dxaOrig="200" w:dyaOrig="220">
          <v:shape id="_x0000_i1028" type="#_x0000_t75" style="width:9.8pt;height:11.5pt" o:ole="">
            <v:imagedata r:id="rId13" o:title=""/>
          </v:shape>
          <o:OLEObject Type="Embed" ProgID="Equation.DSMT4" ShapeID="_x0000_i1028" DrawAspect="Content" ObjectID="_1480589540" r:id="rId14"/>
        </w:object>
      </w:r>
      <w:r>
        <w:t xml:space="preserve">  - taisnstūra loga platums.</w:t>
      </w:r>
    </w:p>
    <w:p w:rsidR="00827660" w:rsidRDefault="00827660" w:rsidP="00827660">
      <w:pPr>
        <w:ind w:left="360"/>
      </w:pPr>
      <w:r>
        <w:t>No formulām 1.2 un 1.3 izriet, ka logotā signāla spektrālajam blīvumam jābūt pa frekvenču asi nobīdītām “</w:t>
      </w:r>
      <w:proofErr w:type="spellStart"/>
      <w:r>
        <w:t>sinc</w:t>
      </w:r>
      <w:proofErr w:type="spellEnd"/>
      <w:r>
        <w:t>” funkcijām:</w:t>
      </w:r>
    </w:p>
    <w:p w:rsidR="00827660" w:rsidRPr="00827660" w:rsidRDefault="00827660" w:rsidP="00827660">
      <w:pPr>
        <w:pStyle w:val="MTDisplayEquation"/>
      </w:pPr>
      <w:r>
        <w:lastRenderedPageBreak/>
        <w:tab/>
      </w:r>
      <w:r w:rsidR="00C2012C" w:rsidRPr="00C8225C">
        <w:rPr>
          <w:position w:val="-24"/>
        </w:rPr>
        <w:object w:dxaOrig="6580" w:dyaOrig="620">
          <v:shape id="_x0000_i1029" type="#_x0000_t75" style="width:329.45pt;height:30.55pt" o:ole="">
            <v:imagedata r:id="rId15" o:title=""/>
          </v:shape>
          <o:OLEObject Type="Embed" ProgID="Equation.DSMT4" ShapeID="_x0000_i1029" DrawAspect="Content" ObjectID="_1480589541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C8225C" w:rsidRDefault="00C8225C" w:rsidP="006E29DD">
      <w:pPr>
        <w:ind w:left="360"/>
      </w:pPr>
      <w:r>
        <w:t xml:space="preserve">Tā, kā programma aprēķiniem izmantos diskrētas nolases, tad tā attēlos tikai spektra nolases ar soli: </w:t>
      </w:r>
      <w:r w:rsidRPr="00C8225C">
        <w:rPr>
          <w:position w:val="-30"/>
        </w:rPr>
        <w:object w:dxaOrig="1180" w:dyaOrig="680">
          <v:shape id="_x0000_i1030" type="#_x0000_t75" style="width:59.35pt;height:34pt" o:ole="">
            <v:imagedata r:id="rId17" o:title=""/>
          </v:shape>
          <o:OLEObject Type="Embed" ProgID="Equation.DSMT4" ShapeID="_x0000_i1030" DrawAspect="Content" ObjectID="_1480589542" r:id="rId18"/>
        </w:object>
      </w:r>
      <w:r>
        <w:t xml:space="preserve">. </w:t>
      </w:r>
      <w:r w:rsidR="00A86F6D">
        <w:t>Tas nozīmē, ka</w:t>
      </w:r>
      <w:r>
        <w:t xml:space="preserve"> </w:t>
      </w:r>
      <w:r w:rsidR="00A86F6D">
        <w:t>aprēķinos</w:t>
      </w:r>
      <w:r>
        <w:t>,</w:t>
      </w:r>
      <w:r w:rsidR="00A86F6D" w:rsidRPr="00A86F6D">
        <w:t xml:space="preserve"> </w:t>
      </w:r>
      <w:r w:rsidR="00A86F6D">
        <w:t>kad loga platumu maina nolases aizstājot ar 0, aprēķināto spektra nolašu frekvences nemainīsies, bet,</w:t>
      </w:r>
      <w:r w:rsidR="00A86F6D" w:rsidRPr="00A86F6D">
        <w:t xml:space="preserve"> </w:t>
      </w:r>
      <w:r w:rsidR="00A86F6D">
        <w:t>kad loga platumu mainīs, mainot analīzes laiku, mainīsies arī frekvences pie kurām tiek aprēķinātas spektra nolases.</w:t>
      </w:r>
    </w:p>
    <w:p w:rsidR="0087055A" w:rsidRDefault="00B95BFA" w:rsidP="0087055A">
      <w:pPr>
        <w:ind w:left="360"/>
      </w:pPr>
      <w:r>
        <w:t>Iegūtie rezultāti</w:t>
      </w:r>
      <w:r w:rsidR="00E74187">
        <w:t xml:space="preserve"> diskretizētam signālam</w:t>
      </w:r>
    </w:p>
    <w:p w:rsidR="00E57997" w:rsidRDefault="00E57997" w:rsidP="0087055A">
      <w:pPr>
        <w:ind w:left="360"/>
      </w:pPr>
      <w:r>
        <w:t>Simulācijas laika parametri:</w:t>
      </w:r>
    </w:p>
    <w:p w:rsidR="00E57997" w:rsidRDefault="00F15050" w:rsidP="00E57997">
      <w:pPr>
        <w:pStyle w:val="ListParagraph"/>
        <w:numPr>
          <w:ilvl w:val="0"/>
          <w:numId w:val="3"/>
        </w:numPr>
      </w:pPr>
      <w:r>
        <w:t>128 nolases;</w:t>
      </w:r>
    </w:p>
    <w:p w:rsidR="00E57997" w:rsidRDefault="00F15050" w:rsidP="00F15050">
      <w:pPr>
        <w:pStyle w:val="ListParagraph"/>
        <w:numPr>
          <w:ilvl w:val="0"/>
          <w:numId w:val="3"/>
        </w:numPr>
      </w:pPr>
      <w:r>
        <w:t xml:space="preserve">Analīzes laiks: </w:t>
      </w:r>
      <w:r w:rsidRPr="00E57997">
        <w:rPr>
          <w:position w:val="-12"/>
        </w:rPr>
        <w:object w:dxaOrig="1540" w:dyaOrig="360">
          <v:shape id="_x0000_i1031" type="#_x0000_t75" style="width:79.5pt;height:21.9pt" o:ole="">
            <v:imagedata r:id="rId19" o:title=""/>
          </v:shape>
          <o:OLEObject Type="Embed" ProgID="Equation.DSMT4" ShapeID="_x0000_i1031" DrawAspect="Content" ObjectID="_1480589543" r:id="rId20"/>
        </w:objec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7571"/>
      </w:tblGrid>
      <w:tr w:rsidR="00F46D60" w:rsidTr="00994547">
        <w:trPr>
          <w:cantSplit/>
          <w:trHeight w:val="4083"/>
        </w:trPr>
        <w:tc>
          <w:tcPr>
            <w:tcW w:w="731" w:type="dxa"/>
            <w:textDirection w:val="btLr"/>
            <w:vAlign w:val="center"/>
          </w:tcPr>
          <w:p w:rsidR="00BA5C05" w:rsidRDefault="00BA5C05" w:rsidP="00BA5C05">
            <w:pPr>
              <w:ind w:left="113" w:right="113"/>
              <w:jc w:val="center"/>
            </w:pPr>
            <w:r>
              <w:t>Loga platums = Analīzes laiks</w:t>
            </w:r>
          </w:p>
        </w:tc>
        <w:tc>
          <w:tcPr>
            <w:tcW w:w="7565" w:type="dxa"/>
          </w:tcPr>
          <w:p w:rsidR="00BA5C05" w:rsidRDefault="00F46D60" w:rsidP="00BA5C05">
            <w:r>
              <w:rPr>
                <w:noProof/>
                <w:lang w:eastAsia="lv-LV"/>
              </w:rPr>
              <w:drawing>
                <wp:inline distT="0" distB="0" distL="0" distR="0">
                  <wp:extent cx="4724400" cy="251691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3849E4A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413" cy="252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61C6" w:rsidRDefault="00BA5C05" w:rsidP="004F61C6">
            <w:r>
              <w:t>Ar abām metodēm iegūtie rezul</w:t>
            </w:r>
            <w:r w:rsidR="006E1568">
              <w:t xml:space="preserve">tāti ir vienādi. </w:t>
            </w:r>
            <w:r w:rsidR="004C79E2">
              <w:t>Iegūto signāla spektru</w:t>
            </w:r>
            <w:r w:rsidR="006E1568">
              <w:t xml:space="preserve"> veido signāla spektra komponenšu kompozīc</w:t>
            </w:r>
            <w:r w:rsidR="004F61C6">
              <w:t>ija ar taisnstūra loga spektru</w:t>
            </w:r>
            <w:r w:rsidR="006E1568">
              <w:t xml:space="preserve">, un, tā kā analīzes laikā neietilpst vesels signāla periodu </w:t>
            </w:r>
            <w:r w:rsidR="004F61C6">
              <w:t xml:space="preserve">skaits, aprēķinātais spektrs precīzi neatbilst signāla spektram, taču ar to ir pietiekami, lai varētu izšķirt atsevišķas harmonikas. </w:t>
            </w:r>
          </w:p>
        </w:tc>
      </w:tr>
      <w:tr w:rsidR="00F46D60" w:rsidTr="00994547">
        <w:trPr>
          <w:cantSplit/>
          <w:trHeight w:val="4083"/>
        </w:trPr>
        <w:tc>
          <w:tcPr>
            <w:tcW w:w="731" w:type="dxa"/>
            <w:textDirection w:val="btLr"/>
            <w:vAlign w:val="center"/>
          </w:tcPr>
          <w:p w:rsidR="00A26138" w:rsidRDefault="00DC23A5" w:rsidP="006527A9">
            <w:pPr>
              <w:ind w:left="113" w:right="113"/>
              <w:jc w:val="center"/>
            </w:pPr>
            <w:r>
              <w:lastRenderedPageBreak/>
              <w:t xml:space="preserve">Loga platums = </w:t>
            </w:r>
            <w:r w:rsidR="00A26138">
              <w:t>4</w:t>
            </w:r>
            <w:r>
              <w:t>,</w:t>
            </w:r>
            <w:r w:rsidR="006527A9">
              <w:t>3</w:t>
            </w:r>
            <w:r w:rsidR="00A26138">
              <w:t xml:space="preserve"> * Analīzes laiks</w:t>
            </w:r>
          </w:p>
        </w:tc>
        <w:tc>
          <w:tcPr>
            <w:tcW w:w="7565" w:type="dxa"/>
          </w:tcPr>
          <w:p w:rsidR="00A26138" w:rsidRDefault="00F46D60" w:rsidP="00BA5C05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>
                  <wp:extent cx="4695825" cy="250168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384D22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971" cy="250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6138" w:rsidRDefault="005B3D32" w:rsidP="00E34E77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t>A</w:t>
            </w:r>
            <w:r w:rsidR="00A26138">
              <w:rPr>
                <w:noProof/>
                <w:lang w:eastAsia="lv-LV"/>
              </w:rPr>
              <w:t>bi gadījumi uz loga platuma izmaiņām reaģē atšķirīgi. Tā kā pirmajā gadījumā (kad, lai samazinātu loga platumu, nolases aizstāj ar nullēm) analīzes laiks nemainās,</w:t>
            </w:r>
            <w:r>
              <w:rPr>
                <w:noProof/>
                <w:lang w:eastAsia="lv-LV"/>
              </w:rPr>
              <w:t xml:space="preserve"> iegūtajam</w:t>
            </w:r>
            <w:r w:rsidR="00A26138">
              <w:rPr>
                <w:noProof/>
                <w:lang w:eastAsia="lv-LV"/>
              </w:rPr>
              <w:t xml:space="preserve"> </w:t>
            </w:r>
            <w:r>
              <w:rPr>
                <w:noProof/>
                <w:lang w:eastAsia="lv-LV"/>
              </w:rPr>
              <w:t>spektram mainās tikai</w:t>
            </w:r>
            <w:r w:rsidR="00A26138">
              <w:rPr>
                <w:noProof/>
                <w:lang w:eastAsia="lv-LV"/>
              </w:rPr>
              <w:t xml:space="preserve"> aprēķināto</w:t>
            </w:r>
            <w:r>
              <w:rPr>
                <w:noProof/>
                <w:lang w:eastAsia="lv-LV"/>
              </w:rPr>
              <w:t xml:space="preserve"> nolašu vērtības, taču otrajā gadījumā analīzes laiks mainās, līdz ar to mainās arī spektra nolašu aprēķināšanas solis. </w:t>
            </w:r>
            <w:r w:rsidR="00E34E77">
              <w:rPr>
                <w:noProof/>
                <w:lang w:eastAsia="lv-LV"/>
              </w:rPr>
              <w:br/>
            </w:r>
            <w:r>
              <w:rPr>
                <w:noProof/>
                <w:lang w:eastAsia="lv-LV"/>
              </w:rPr>
              <w:t>Abos gadījumos aprēķinātais spektrs mainās, taču</w:t>
            </w:r>
            <w:r w:rsidR="00E6326A">
              <w:rPr>
                <w:noProof/>
                <w:lang w:eastAsia="lv-LV"/>
              </w:rPr>
              <w:t xml:space="preserve"> redzams, ka pie analizējamā signāla komponenšu frekvencēm aprēķināto spektra komponenšu vērtības ir lielākas, un </w:t>
            </w:r>
            <w:r w:rsidR="00DC23A5">
              <w:rPr>
                <w:noProof/>
                <w:lang w:eastAsia="lv-LV"/>
              </w:rPr>
              <w:t>ir iespējams aptuveni novērtēt no kādu frekvenču harmonikām</w:t>
            </w:r>
            <w:r w:rsidR="00E6326A">
              <w:rPr>
                <w:noProof/>
                <w:lang w:eastAsia="lv-LV"/>
              </w:rPr>
              <w:t xml:space="preserve"> analizējamais</w:t>
            </w:r>
            <w:r w:rsidR="00DC23A5">
              <w:rPr>
                <w:noProof/>
                <w:lang w:eastAsia="lv-LV"/>
              </w:rPr>
              <w:t xml:space="preserve"> signāls sastāv. </w:t>
            </w:r>
          </w:p>
        </w:tc>
      </w:tr>
      <w:tr w:rsidR="00F46D60" w:rsidTr="00994547">
        <w:trPr>
          <w:cantSplit/>
          <w:trHeight w:val="4083"/>
        </w:trPr>
        <w:tc>
          <w:tcPr>
            <w:tcW w:w="731" w:type="dxa"/>
            <w:textDirection w:val="btLr"/>
            <w:vAlign w:val="center"/>
          </w:tcPr>
          <w:p w:rsidR="00DC23A5" w:rsidRDefault="00DC23A5" w:rsidP="00DC23A5">
            <w:pPr>
              <w:ind w:left="113" w:right="113"/>
              <w:jc w:val="center"/>
            </w:pPr>
            <w:r>
              <w:t>Loga platums = 3* Analīzes laiks</w:t>
            </w:r>
          </w:p>
        </w:tc>
        <w:tc>
          <w:tcPr>
            <w:tcW w:w="7565" w:type="dxa"/>
          </w:tcPr>
          <w:p w:rsidR="00DC23A5" w:rsidRDefault="00F46D60" w:rsidP="00BA5C05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>
                  <wp:extent cx="4714875" cy="2511837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38456DE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344" cy="25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7A9" w:rsidRDefault="00E6326A" w:rsidP="00E34E77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t>P</w:t>
            </w:r>
            <w:r w:rsidR="003163CC">
              <w:rPr>
                <w:noProof/>
                <w:lang w:eastAsia="lv-LV"/>
              </w:rPr>
              <w:t xml:space="preserve">irmajā gadījumā rezultāti ir līdzīgi kā pie iepriekš ņemtā loga platuma, tikai </w:t>
            </w:r>
            <w:r w:rsidR="00E34E77">
              <w:rPr>
                <w:noProof/>
                <w:lang w:eastAsia="lv-LV"/>
              </w:rPr>
              <w:t xml:space="preserve">šoreiz sakrīt tā, ka “sinc” funkcijas pie signāla harmoniku frekvencēm viena otrai netraucē un ticami var novērtēt ne tikai harmoniku frekvences, bet arī amplitūdu attiecību. </w:t>
            </w:r>
            <w:r w:rsidR="00E34E77">
              <w:rPr>
                <w:noProof/>
                <w:lang w:eastAsia="lv-LV"/>
              </w:rPr>
              <w:br/>
              <w:t>O</w:t>
            </w:r>
            <w:r w:rsidR="006527A9">
              <w:rPr>
                <w:noProof/>
                <w:lang w:eastAsia="lv-LV"/>
              </w:rPr>
              <w:t>trajā gadījumā</w:t>
            </w:r>
            <w:r>
              <w:rPr>
                <w:noProof/>
                <w:lang w:eastAsia="lv-LV"/>
              </w:rPr>
              <w:t xml:space="preserve"> spektra nolašu solis sakrīt tā, ka</w:t>
            </w:r>
            <w:r w:rsidR="006527A9">
              <w:rPr>
                <w:noProof/>
                <w:lang w:eastAsia="lv-LV"/>
              </w:rPr>
              <w:t xml:space="preserve"> aprēķinātās spektra nolases precīzi atēlo analizējamā signāla spektru</w:t>
            </w:r>
            <w:r w:rsidR="00C2012C">
              <w:rPr>
                <w:noProof/>
                <w:lang w:eastAsia="lv-LV"/>
              </w:rPr>
              <w:t xml:space="preserve">. </w:t>
            </w:r>
            <w:r w:rsidR="00E34E77">
              <w:rPr>
                <w:noProof/>
                <w:lang w:eastAsia="lv-LV"/>
              </w:rPr>
              <w:t>Šādi rezultāti</w:t>
            </w:r>
            <w:r w:rsidR="003163CC">
              <w:rPr>
                <w:noProof/>
                <w:lang w:eastAsia="lv-LV"/>
              </w:rPr>
              <w:t xml:space="preserve"> t</w:t>
            </w:r>
            <w:r w:rsidR="00E34E77">
              <w:rPr>
                <w:noProof/>
                <w:lang w:eastAsia="lv-LV"/>
              </w:rPr>
              <w:t>iek iegūti</w:t>
            </w:r>
            <w:r w:rsidR="003163CC">
              <w:rPr>
                <w:noProof/>
                <w:lang w:eastAsia="lv-LV"/>
              </w:rPr>
              <w:t xml:space="preserve"> neatkarīgi no tā, cik veselu signāla periodu precīzi atbilst loga platumam.</w:t>
            </w:r>
          </w:p>
        </w:tc>
      </w:tr>
      <w:tr w:rsidR="00E34E77" w:rsidTr="00994547">
        <w:trPr>
          <w:cantSplit/>
          <w:trHeight w:val="4083"/>
        </w:trPr>
        <w:tc>
          <w:tcPr>
            <w:tcW w:w="731" w:type="dxa"/>
            <w:textDirection w:val="btLr"/>
            <w:vAlign w:val="center"/>
          </w:tcPr>
          <w:p w:rsidR="003163CC" w:rsidRDefault="003163CC" w:rsidP="003163CC">
            <w:pPr>
              <w:ind w:left="113" w:right="113"/>
              <w:jc w:val="center"/>
            </w:pPr>
            <w:r>
              <w:lastRenderedPageBreak/>
              <w:t>Loga platums = 1,4* Analīzes laiks</w:t>
            </w:r>
          </w:p>
        </w:tc>
        <w:tc>
          <w:tcPr>
            <w:tcW w:w="7565" w:type="dxa"/>
          </w:tcPr>
          <w:p w:rsidR="003163CC" w:rsidRDefault="00F46D60" w:rsidP="00BA5C05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>
                  <wp:extent cx="4684302" cy="2495550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849B4B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40" cy="249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6BD" w:rsidRDefault="00506F09" w:rsidP="0047497E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t xml:space="preserve">Iegūtie rezultāti šādam loga platumam </w:t>
            </w:r>
            <w:r w:rsidR="004966BD">
              <w:rPr>
                <w:noProof/>
                <w:lang w:eastAsia="lv-LV"/>
              </w:rPr>
              <w:t>jau stipri atšķiras no analizējamā signāla spektra.</w:t>
            </w:r>
            <w:r>
              <w:rPr>
                <w:noProof/>
                <w:lang w:eastAsia="lv-LV"/>
              </w:rPr>
              <w:t xml:space="preserve"> </w:t>
            </w:r>
            <w:r w:rsidR="004966BD">
              <w:rPr>
                <w:noProof/>
                <w:lang w:eastAsia="lv-LV"/>
              </w:rPr>
              <w:t>Tomēr</w:t>
            </w:r>
            <w:r>
              <w:rPr>
                <w:noProof/>
                <w:lang w:eastAsia="lv-LV"/>
              </w:rPr>
              <w:t xml:space="preserve"> pirmajā ga</w:t>
            </w:r>
            <w:r w:rsidR="004966BD">
              <w:rPr>
                <w:noProof/>
                <w:lang w:eastAsia="lv-LV"/>
              </w:rPr>
              <w:t xml:space="preserve">dījumā vēl varētu </w:t>
            </w:r>
            <w:r w:rsidR="0047497E">
              <w:rPr>
                <w:noProof/>
                <w:lang w:eastAsia="lv-LV"/>
              </w:rPr>
              <w:t>nojaust kādas ir</w:t>
            </w:r>
            <w:r w:rsidR="004966BD">
              <w:rPr>
                <w:noProof/>
                <w:lang w:eastAsia="lv-LV"/>
              </w:rPr>
              <w:t xml:space="preserve"> signāla harmonikas, taču o</w:t>
            </w:r>
            <w:r w:rsidR="0047497E">
              <w:rPr>
                <w:noProof/>
                <w:lang w:eastAsia="lv-LV"/>
              </w:rPr>
              <w:t xml:space="preserve">trajā gadījumā </w:t>
            </w:r>
            <w:r w:rsidR="004966BD">
              <w:rPr>
                <w:noProof/>
                <w:lang w:eastAsia="lv-LV"/>
              </w:rPr>
              <w:t xml:space="preserve"> </w:t>
            </w:r>
            <w:r w:rsidR="0047497E">
              <w:rPr>
                <w:noProof/>
                <w:lang w:eastAsia="lv-LV"/>
              </w:rPr>
              <w:t>tas</w:t>
            </w:r>
            <w:r w:rsidR="00F46D60">
              <w:rPr>
                <w:noProof/>
                <w:lang w:eastAsia="lv-LV"/>
              </w:rPr>
              <w:t xml:space="preserve"> nav</w:t>
            </w:r>
            <w:r w:rsidR="0047497E">
              <w:rPr>
                <w:noProof/>
                <w:lang w:eastAsia="lv-LV"/>
              </w:rPr>
              <w:t xml:space="preserve"> tik acīmredzami</w:t>
            </w:r>
            <w:r w:rsidR="004966BD">
              <w:rPr>
                <w:noProof/>
                <w:lang w:eastAsia="lv-LV"/>
              </w:rPr>
              <w:t>. Lai gan, ja loga platums būtu</w:t>
            </w:r>
            <w:r w:rsidR="00FA320E">
              <w:rPr>
                <w:noProof/>
                <w:lang w:eastAsia="lv-LV"/>
              </w:rPr>
              <w:t xml:space="preserve"> vēl</w:t>
            </w:r>
            <w:r w:rsidR="004966BD">
              <w:rPr>
                <w:noProof/>
                <w:lang w:eastAsia="lv-LV"/>
              </w:rPr>
              <w:t xml:space="preserve"> mazāks un sakristu ar vienu </w:t>
            </w:r>
            <w:r w:rsidR="00FA320E">
              <w:rPr>
                <w:noProof/>
                <w:lang w:eastAsia="lv-LV"/>
              </w:rPr>
              <w:t>veselu periodu,</w:t>
            </w:r>
            <w:r w:rsidR="0047497E">
              <w:rPr>
                <w:noProof/>
                <w:lang w:eastAsia="lv-LV"/>
              </w:rPr>
              <w:t xml:space="preserve"> otrajā gadījumā</w:t>
            </w:r>
            <w:r w:rsidR="00FA320E">
              <w:rPr>
                <w:noProof/>
                <w:lang w:eastAsia="lv-LV"/>
              </w:rPr>
              <w:t xml:space="preserve"> aprēķinātais spektrs precīzi atainotu analizētā signāla spektru.</w:t>
            </w:r>
          </w:p>
        </w:tc>
      </w:tr>
      <w:tr w:rsidR="0047497E" w:rsidTr="00994547">
        <w:trPr>
          <w:cantSplit/>
          <w:trHeight w:val="4083"/>
        </w:trPr>
        <w:tc>
          <w:tcPr>
            <w:tcW w:w="731" w:type="dxa"/>
            <w:textDirection w:val="btLr"/>
            <w:vAlign w:val="center"/>
          </w:tcPr>
          <w:p w:rsidR="00FA320E" w:rsidRDefault="00FA320E" w:rsidP="003163CC">
            <w:pPr>
              <w:ind w:left="113" w:right="113"/>
              <w:jc w:val="center"/>
            </w:pPr>
            <w:r>
              <w:t xml:space="preserve">Loga platums = </w:t>
            </w:r>
            <w:r w:rsidR="0047497E">
              <w:t>0,6</w:t>
            </w:r>
            <w:r>
              <w:t>* Analīzes laiks</w:t>
            </w:r>
          </w:p>
        </w:tc>
        <w:tc>
          <w:tcPr>
            <w:tcW w:w="7565" w:type="dxa"/>
          </w:tcPr>
          <w:p w:rsidR="00FA320E" w:rsidRDefault="00F46D60" w:rsidP="00BA5C05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>
                  <wp:extent cx="4720060" cy="2514600"/>
                  <wp:effectExtent l="0" t="0" r="444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384F821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659" cy="251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20E" w:rsidRDefault="00FA320E" w:rsidP="001D7EE9">
            <w:pPr>
              <w:rPr>
                <w:noProof/>
                <w:lang w:eastAsia="lv-LV"/>
              </w:rPr>
            </w:pPr>
            <w:r>
              <w:rPr>
                <w:noProof/>
                <w:lang w:eastAsia="lv-LV"/>
              </w:rPr>
              <w:t>Loga platumam esot ievērojami mazākam par signāla periodu, pirmajā gadījumā spektra nolases izplūst tik ļoti, ka praktiski nevar izdalīt nevienu</w:t>
            </w:r>
            <w:r w:rsidR="001D7EE9">
              <w:rPr>
                <w:noProof/>
                <w:lang w:eastAsia="lv-LV"/>
              </w:rPr>
              <w:t xml:space="preserve"> no</w:t>
            </w:r>
            <w:r>
              <w:rPr>
                <w:noProof/>
                <w:lang w:eastAsia="lv-LV"/>
              </w:rPr>
              <w:t xml:space="preserve"> analizējamā signāla harmonik</w:t>
            </w:r>
            <w:r w:rsidR="001D7EE9">
              <w:rPr>
                <w:noProof/>
                <w:lang w:eastAsia="lv-LV"/>
              </w:rPr>
              <w:t>ām</w:t>
            </w:r>
            <w:r>
              <w:rPr>
                <w:noProof/>
                <w:lang w:eastAsia="lv-LV"/>
              </w:rPr>
              <w:t>, bet otrajā gadījumā analīzes laiks ir</w:t>
            </w:r>
            <w:r w:rsidR="001D7EE9">
              <w:rPr>
                <w:noProof/>
                <w:lang w:eastAsia="lv-LV"/>
              </w:rPr>
              <w:t xml:space="preserve"> tik</w:t>
            </w:r>
            <w:r>
              <w:rPr>
                <w:noProof/>
                <w:lang w:eastAsia="lv-LV"/>
              </w:rPr>
              <w:t xml:space="preserve"> īss,</w:t>
            </w:r>
            <w:r w:rsidR="001D7EE9">
              <w:rPr>
                <w:noProof/>
                <w:lang w:eastAsia="lv-LV"/>
              </w:rPr>
              <w:t xml:space="preserve"> ka</w:t>
            </w:r>
            <w:r>
              <w:rPr>
                <w:noProof/>
                <w:lang w:eastAsia="lv-LV"/>
              </w:rPr>
              <w:t xml:space="preserve"> </w:t>
            </w:r>
            <w:r w:rsidR="001D7EE9">
              <w:rPr>
                <w:noProof/>
                <w:lang w:eastAsia="lv-LV"/>
              </w:rPr>
              <w:t>spektra nolašu aprēķināšanas solis ir stipri par lielu, lai sniegtu informāciju par katru signāla harmoniku frekvenci.</w:t>
            </w:r>
          </w:p>
        </w:tc>
      </w:tr>
    </w:tbl>
    <w:p w:rsidR="00E74187" w:rsidRDefault="00E74187" w:rsidP="0087055A">
      <w:pPr>
        <w:ind w:left="360"/>
      </w:pPr>
    </w:p>
    <w:p w:rsidR="00E74187" w:rsidRDefault="00E74187">
      <w:pPr>
        <w:spacing w:after="160" w:line="259" w:lineRule="auto"/>
      </w:pPr>
      <w:r>
        <w:br w:type="page"/>
      </w:r>
    </w:p>
    <w:p w:rsidR="00B95BFA" w:rsidRDefault="00E74187" w:rsidP="0087055A">
      <w:pPr>
        <w:ind w:left="360"/>
      </w:pPr>
      <w:r>
        <w:lastRenderedPageBreak/>
        <w:t>Secinājumi</w:t>
      </w:r>
    </w:p>
    <w:p w:rsidR="00DA2695" w:rsidRDefault="00DA2695" w:rsidP="00DA2695">
      <w:pPr>
        <w:pStyle w:val="ListParagraph"/>
        <w:numPr>
          <w:ilvl w:val="0"/>
          <w:numId w:val="4"/>
        </w:numPr>
      </w:pPr>
      <w:r>
        <w:t>Samazinot taisnstūra loga platumu, ie</w:t>
      </w:r>
      <w:r w:rsidR="00375787">
        <w:t>gūtā signāla spektrs izplūst, taču, ja loga platums nav ievērojami mazāks par signāla vienu periodu, tad no tā var izsecināt signāla harmoniku frekvences.</w:t>
      </w:r>
    </w:p>
    <w:p w:rsidR="00375787" w:rsidRDefault="00375787" w:rsidP="00DA2695">
      <w:pPr>
        <w:pStyle w:val="ListParagraph"/>
        <w:numPr>
          <w:ilvl w:val="0"/>
          <w:numId w:val="4"/>
        </w:numPr>
      </w:pPr>
      <w:r>
        <w:t>Ja loga platums iekļauj veselu skaitu signāla periodu, precīzi var noteikt arī signāla harmoniku samēru.</w:t>
      </w:r>
      <w:r w:rsidR="00753BE9">
        <w:t xml:space="preserve"> Otrā metode, kurā loga platumu main</w:t>
      </w:r>
      <w:bookmarkStart w:id="0" w:name="_GoBack"/>
      <w:bookmarkEnd w:id="0"/>
      <w:r w:rsidR="00753BE9">
        <w:t>īja mainot analīzes laiku ignorējot noteiktas signāla nolases, šajā gadījumā sniegtu precīzas  signāla spektra nolases.</w:t>
      </w:r>
    </w:p>
    <w:p w:rsidR="00DA2695" w:rsidRDefault="00DA2695" w:rsidP="00753BE9">
      <w:pPr>
        <w:pStyle w:val="ListParagraph"/>
        <w:numPr>
          <w:ilvl w:val="0"/>
          <w:numId w:val="4"/>
        </w:numPr>
      </w:pPr>
      <w:r>
        <w:t>Ja ieskatās, tad var redzēt, ka otrā metode būtībā aprēķina to pašu signāla spektru, ko pirmā metode, tikai ar retāku soli.</w:t>
      </w:r>
    </w:p>
    <w:p w:rsidR="00E74187" w:rsidRDefault="00E74187" w:rsidP="0087055A">
      <w:pPr>
        <w:ind w:left="360"/>
      </w:pPr>
    </w:p>
    <w:sectPr w:rsidR="00E741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76CD"/>
    <w:multiLevelType w:val="hybridMultilevel"/>
    <w:tmpl w:val="D562B360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195608"/>
    <w:multiLevelType w:val="hybridMultilevel"/>
    <w:tmpl w:val="42788AC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956BC"/>
    <w:multiLevelType w:val="hybridMultilevel"/>
    <w:tmpl w:val="9356F5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152"/>
    <w:multiLevelType w:val="hybridMultilevel"/>
    <w:tmpl w:val="F73A2B7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C6"/>
    <w:rsid w:val="000B47A1"/>
    <w:rsid w:val="0011168B"/>
    <w:rsid w:val="0015258A"/>
    <w:rsid w:val="001569E2"/>
    <w:rsid w:val="001913AD"/>
    <w:rsid w:val="001D7EE9"/>
    <w:rsid w:val="002876CB"/>
    <w:rsid w:val="002B7B2B"/>
    <w:rsid w:val="002C32EC"/>
    <w:rsid w:val="002F2F4F"/>
    <w:rsid w:val="003163CC"/>
    <w:rsid w:val="00375787"/>
    <w:rsid w:val="00385A47"/>
    <w:rsid w:val="0047497E"/>
    <w:rsid w:val="004966BD"/>
    <w:rsid w:val="004A74AB"/>
    <w:rsid w:val="004C79E2"/>
    <w:rsid w:val="004F61C6"/>
    <w:rsid w:val="00506F09"/>
    <w:rsid w:val="005B3D32"/>
    <w:rsid w:val="006527A9"/>
    <w:rsid w:val="006E1568"/>
    <w:rsid w:val="006E29DD"/>
    <w:rsid w:val="006F7CAA"/>
    <w:rsid w:val="00753BE9"/>
    <w:rsid w:val="007D753C"/>
    <w:rsid w:val="00827660"/>
    <w:rsid w:val="0087055A"/>
    <w:rsid w:val="00871B49"/>
    <w:rsid w:val="00994547"/>
    <w:rsid w:val="00A26138"/>
    <w:rsid w:val="00A440E4"/>
    <w:rsid w:val="00A67CDF"/>
    <w:rsid w:val="00A86F6D"/>
    <w:rsid w:val="00B83A46"/>
    <w:rsid w:val="00B95BFA"/>
    <w:rsid w:val="00BA3F2D"/>
    <w:rsid w:val="00BA5C05"/>
    <w:rsid w:val="00BE2D72"/>
    <w:rsid w:val="00C03B64"/>
    <w:rsid w:val="00C2012C"/>
    <w:rsid w:val="00C8225C"/>
    <w:rsid w:val="00D12299"/>
    <w:rsid w:val="00D87A35"/>
    <w:rsid w:val="00DA2695"/>
    <w:rsid w:val="00DB42D7"/>
    <w:rsid w:val="00DC23A5"/>
    <w:rsid w:val="00E06287"/>
    <w:rsid w:val="00E071C6"/>
    <w:rsid w:val="00E34E77"/>
    <w:rsid w:val="00E57997"/>
    <w:rsid w:val="00E6326A"/>
    <w:rsid w:val="00E74187"/>
    <w:rsid w:val="00F15050"/>
    <w:rsid w:val="00F46D60"/>
    <w:rsid w:val="00F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83CF9-3B5F-4B15-BEC2-2BCE2A35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1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C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52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lv-LV"/>
    </w:rPr>
  </w:style>
  <w:style w:type="paragraph" w:styleId="ListParagraph">
    <w:name w:val="List Paragraph"/>
    <w:basedOn w:val="Normal"/>
    <w:uiPriority w:val="34"/>
    <w:qFormat/>
    <w:rsid w:val="00C03B6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DB42D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B42D7"/>
  </w:style>
  <w:style w:type="character" w:customStyle="1" w:styleId="MTEquationSection">
    <w:name w:val="MTEquationSection"/>
    <w:basedOn w:val="DefaultParagraphFont"/>
    <w:rsid w:val="0011168B"/>
    <w:rPr>
      <w:b/>
      <w:vanish/>
      <w:color w:val="FF0000"/>
      <w:sz w:val="28"/>
    </w:rPr>
  </w:style>
  <w:style w:type="table" w:styleId="TableGrid">
    <w:name w:val="Table Grid"/>
    <w:basedOn w:val="TableNormal"/>
    <w:uiPriority w:val="39"/>
    <w:rsid w:val="00E5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3.tmp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2.tmp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tmp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4F1A58-D5DE-470B-A99B-7BA53DCA1459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89FE3-67F7-49EC-B1C6-445B8245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3841</Words>
  <Characters>2190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Sarmīte Ancāne</dc:creator>
  <cp:keywords/>
  <dc:description/>
  <cp:lastModifiedBy>Armands A</cp:lastModifiedBy>
  <cp:revision>13</cp:revision>
  <dcterms:created xsi:type="dcterms:W3CDTF">2014-10-22T17:57:00Z</dcterms:created>
  <dcterms:modified xsi:type="dcterms:W3CDTF">2014-12-20T12:05:00Z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