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A1A2E"/>
          <w:sz w:val="40"/>
        </w:rPr>
        <w:t>PENETRATION TEST</w:t>
      </w:r>
    </w:p>
    <w:p>
      <w:pPr>
        <w:jc w:val="center"/>
      </w:pPr>
      <w:r>
        <w:rPr>
          <w:rFonts w:ascii="Arial" w:hAnsi="Arial"/>
          <w:b/>
          <w:color w:val="1F4E79"/>
          <w:sz w:val="28"/>
        </w:rPr>
        <w:t>SCOPE OF WORK &amp; AUTHORIZATION AGREEMENT</w:t>
      </w:r>
    </w:p>
    <w:p/>
    <w:tbl>
      <w:tblPr>
        <w:tblStyle w:val="TableGrid"/>
        <w:tblW w:type="auto" w:w="0"/>
        <w:tblLook w:firstColumn="1" w:firstRow="1" w:lastColumn="0" w:lastRow="0" w:noHBand="0" w:noVBand="1" w:val="04A0"/>
      </w:tblPr>
      <w:tblGrid>
        <w:gridCol w:w="4680"/>
        <w:gridCol w:w="4680"/>
      </w:tblGrid>
      <w:tr>
        <w:tc>
          <w:tcPr>
            <w:tcW w:type="dxa" w:w="3168"/>
            <w:shd w:val="clear" w:color="auto" w:fill="1F4E79"/>
            <w:tcBorders>
              <w:top w:val="single" w:sz="4" w:space="0" w:color="1F4E79"/>
              <w:left w:val="single" w:sz="4" w:space="0" w:color="1F4E79"/>
              <w:bottom w:val="single" w:sz="4" w:space="0" w:color="1F4E79"/>
              <w:right w:val="single" w:sz="4" w:space="0" w:color="1F4E79"/>
            </w:tcBorders>
          </w:tcPr>
          <w:p>
            <w:r>
              <w:rPr>
                <w:rFonts w:ascii="Arial" w:hAnsi="Arial"/>
                <w:b/>
                <w:color w:val="FFFFFF"/>
                <w:sz w:val="18"/>
              </w:rPr>
              <w:t>Client Organization</w:t>
            </w:r>
          </w:p>
        </w:tc>
        <w:tc>
          <w:tcPr>
            <w:tcW w:type="dxa" w:w="720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sz w:val="18"/>
              </w:rPr>
              <w:t>Meridian Community Bank, N.A.</w:t>
            </w:r>
          </w:p>
        </w:tc>
      </w:tr>
      <w:tr>
        <w:tc>
          <w:tcPr>
            <w:tcW w:type="dxa" w:w="3168"/>
            <w:shd w:val="clear" w:color="auto" w:fill="1F4E79"/>
            <w:tcBorders>
              <w:top w:val="single" w:sz="4" w:space="0" w:color="1F4E79"/>
              <w:left w:val="single" w:sz="4" w:space="0" w:color="1F4E79"/>
              <w:bottom w:val="single" w:sz="4" w:space="0" w:color="1F4E79"/>
              <w:right w:val="single" w:sz="4" w:space="0" w:color="1F4E79"/>
            </w:tcBorders>
          </w:tcPr>
          <w:p>
            <w:r>
              <w:rPr>
                <w:rFonts w:ascii="Arial" w:hAnsi="Arial"/>
                <w:b/>
                <w:color w:val="FFFFFF"/>
                <w:sz w:val="18"/>
              </w:rPr>
              <w:t>Engagement ID</w:t>
            </w:r>
          </w:p>
        </w:tc>
        <w:tc>
          <w:tcPr>
            <w:tcW w:type="dxa" w:w="720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sz w:val="18"/>
              </w:rPr>
              <w:t>MCB-2026-PT-001</w:t>
            </w:r>
          </w:p>
        </w:tc>
      </w:tr>
      <w:tr>
        <w:tc>
          <w:tcPr>
            <w:tcW w:type="dxa" w:w="3168"/>
            <w:shd w:val="clear" w:color="auto" w:fill="1F4E79"/>
            <w:tcBorders>
              <w:top w:val="single" w:sz="4" w:space="0" w:color="1F4E79"/>
              <w:left w:val="single" w:sz="4" w:space="0" w:color="1F4E79"/>
              <w:bottom w:val="single" w:sz="4" w:space="0" w:color="1F4E79"/>
              <w:right w:val="single" w:sz="4" w:space="0" w:color="1F4E79"/>
            </w:tcBorders>
          </w:tcPr>
          <w:p>
            <w:r>
              <w:rPr>
                <w:rFonts w:ascii="Arial" w:hAnsi="Arial"/>
                <w:b/>
                <w:color w:val="FFFFFF"/>
                <w:sz w:val="18"/>
              </w:rPr>
              <w:t>Engagement Type</w:t>
            </w:r>
          </w:p>
        </w:tc>
        <w:tc>
          <w:tcPr>
            <w:tcW w:type="dxa" w:w="720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sz w:val="18"/>
              </w:rPr>
              <w:t>Full Scope</w:t>
            </w:r>
          </w:p>
        </w:tc>
      </w:tr>
      <w:tr>
        <w:tc>
          <w:tcPr>
            <w:tcW w:type="dxa" w:w="3168"/>
            <w:shd w:val="clear" w:color="auto" w:fill="1F4E79"/>
            <w:tcBorders>
              <w:top w:val="single" w:sz="4" w:space="0" w:color="1F4E79"/>
              <w:left w:val="single" w:sz="4" w:space="0" w:color="1F4E79"/>
              <w:bottom w:val="single" w:sz="4" w:space="0" w:color="1F4E79"/>
              <w:right w:val="single" w:sz="4" w:space="0" w:color="1F4E79"/>
            </w:tcBorders>
          </w:tcPr>
          <w:p>
            <w:r>
              <w:rPr>
                <w:rFonts w:ascii="Arial" w:hAnsi="Arial"/>
                <w:b/>
                <w:color w:val="FFFFFF"/>
                <w:sz w:val="18"/>
              </w:rPr>
              <w:t>Classification</w:t>
            </w:r>
          </w:p>
        </w:tc>
        <w:tc>
          <w:tcPr>
            <w:tcW w:type="dxa" w:w="720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sz w:val="18"/>
              </w:rPr>
              <w:t>CONFIDENTIAL — RESTRICTED</w:t>
            </w:r>
          </w:p>
        </w:tc>
      </w:tr>
      <w:tr>
        <w:tc>
          <w:tcPr>
            <w:tcW w:type="dxa" w:w="3168"/>
            <w:shd w:val="clear" w:color="auto" w:fill="1F4E79"/>
            <w:tcBorders>
              <w:top w:val="single" w:sz="4" w:space="0" w:color="1F4E79"/>
              <w:left w:val="single" w:sz="4" w:space="0" w:color="1F4E79"/>
              <w:bottom w:val="single" w:sz="4" w:space="0" w:color="1F4E79"/>
              <w:right w:val="single" w:sz="4" w:space="0" w:color="1F4E79"/>
            </w:tcBorders>
          </w:tcPr>
          <w:p>
            <w:r>
              <w:rPr>
                <w:rFonts w:ascii="Arial" w:hAnsi="Arial"/>
                <w:b/>
                <w:color w:val="FFFFFF"/>
                <w:sz w:val="18"/>
              </w:rPr>
              <w:t>Document Version</w:t>
            </w:r>
          </w:p>
        </w:tc>
        <w:tc>
          <w:tcPr>
            <w:tcW w:type="dxa" w:w="720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sz w:val="18"/>
              </w:rPr>
              <w:t>1.0</w:t>
            </w:r>
          </w:p>
        </w:tc>
      </w:tr>
      <w:tr>
        <w:tc>
          <w:tcPr>
            <w:tcW w:type="dxa" w:w="3168"/>
            <w:shd w:val="clear" w:color="auto" w:fill="1F4E79"/>
            <w:tcBorders>
              <w:top w:val="single" w:sz="4" w:space="0" w:color="1F4E79"/>
              <w:left w:val="single" w:sz="4" w:space="0" w:color="1F4E79"/>
              <w:bottom w:val="single" w:sz="4" w:space="0" w:color="1F4E79"/>
              <w:right w:val="single" w:sz="4" w:space="0" w:color="1F4E79"/>
            </w:tcBorders>
          </w:tcPr>
          <w:p>
            <w:r>
              <w:rPr>
                <w:rFonts w:ascii="Arial" w:hAnsi="Arial"/>
                <w:b/>
                <w:color w:val="FFFFFF"/>
                <w:sz w:val="18"/>
              </w:rPr>
              <w:t>Prepared By</w:t>
            </w:r>
          </w:p>
        </w:tc>
        <w:tc>
          <w:tcPr>
            <w:tcW w:type="dxa" w:w="720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sz w:val="18"/>
              </w:rPr>
              <w:t>Redline Security Group LLC</w:t>
            </w:r>
          </w:p>
        </w:tc>
      </w:tr>
      <w:tr>
        <w:tc>
          <w:tcPr>
            <w:tcW w:type="dxa" w:w="3168"/>
            <w:shd w:val="clear" w:color="auto" w:fill="1F4E79"/>
            <w:tcBorders>
              <w:top w:val="single" w:sz="4" w:space="0" w:color="1F4E79"/>
              <w:left w:val="single" w:sz="4" w:space="0" w:color="1F4E79"/>
              <w:bottom w:val="single" w:sz="4" w:space="0" w:color="1F4E79"/>
              <w:right w:val="single" w:sz="4" w:space="0" w:color="1F4E79"/>
            </w:tcBorders>
          </w:tcPr>
          <w:p>
            <w:r>
              <w:rPr>
                <w:rFonts w:ascii="Arial" w:hAnsi="Arial"/>
                <w:b/>
                <w:color w:val="FFFFFF"/>
                <w:sz w:val="18"/>
              </w:rPr>
              <w:t>Prepared Date</w:t>
            </w:r>
          </w:p>
        </w:tc>
        <w:tc>
          <w:tcPr>
            <w:tcW w:type="dxa" w:w="720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sz w:val="18"/>
              </w:rPr>
              <w:t>March 17, 2026</w:t>
            </w:r>
          </w:p>
        </w:tc>
      </w:tr>
      <w:tr>
        <w:tc>
          <w:tcPr>
            <w:tcW w:type="dxa" w:w="3168"/>
            <w:shd w:val="clear" w:color="auto" w:fill="1F4E79"/>
            <w:tcBorders>
              <w:top w:val="single" w:sz="4" w:space="0" w:color="1F4E79"/>
              <w:left w:val="single" w:sz="4" w:space="0" w:color="1F4E79"/>
              <w:bottom w:val="single" w:sz="4" w:space="0" w:color="1F4E79"/>
              <w:right w:val="single" w:sz="4" w:space="0" w:color="1F4E79"/>
            </w:tcBorders>
          </w:tcPr>
          <w:p>
            <w:r>
              <w:rPr>
                <w:rFonts w:ascii="Arial" w:hAnsi="Arial"/>
                <w:b/>
                <w:color w:val="FFFFFF"/>
                <w:sz w:val="18"/>
              </w:rPr>
              <w:t>Document Status</w:t>
            </w:r>
          </w:p>
        </w:tc>
        <w:tc>
          <w:tcPr>
            <w:tcW w:type="dxa" w:w="720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sz w:val="18"/>
              </w:rPr>
              <w:t>PENDING SIGNATURE</w:t>
            </w:r>
          </w:p>
        </w:tc>
      </w:tr>
      <w:tr>
        <w:tc>
          <w:tcPr>
            <w:tcW w:type="dxa" w:w="3168"/>
            <w:shd w:val="clear" w:color="auto" w:fill="1F4E79"/>
            <w:tcBorders>
              <w:top w:val="single" w:sz="4" w:space="0" w:color="1F4E79"/>
              <w:left w:val="single" w:sz="4" w:space="0" w:color="1F4E79"/>
              <w:bottom w:val="single" w:sz="4" w:space="0" w:color="1F4E79"/>
              <w:right w:val="single" w:sz="4" w:space="0" w:color="1F4E79"/>
            </w:tcBorders>
          </w:tcPr>
          <w:p>
            <w:r>
              <w:rPr>
                <w:rFonts w:ascii="Arial" w:hAnsi="Arial"/>
                <w:b/>
                <w:color w:val="FFFFFF"/>
                <w:sz w:val="18"/>
              </w:rPr>
              <w:t>Scope ID</w:t>
            </w:r>
          </w:p>
        </w:tc>
        <w:tc>
          <w:tcPr>
            <w:tcW w:type="dxa" w:w="720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sz w:val="18"/>
              </w:rPr>
              <w:t>c9e913cc-c714-52d8-9c41-021545edce78</w:t>
            </w:r>
          </w:p>
        </w:tc>
      </w:tr>
      <w:tr>
        <w:tc>
          <w:tcPr>
            <w:tcW w:type="dxa" w:w="3168"/>
            <w:shd w:val="clear" w:color="auto" w:fill="1F4E79"/>
            <w:tcBorders>
              <w:top w:val="single" w:sz="4" w:space="0" w:color="1F4E79"/>
              <w:left w:val="single" w:sz="4" w:space="0" w:color="1F4E79"/>
              <w:bottom w:val="single" w:sz="4" w:space="0" w:color="1F4E79"/>
              <w:right w:val="single" w:sz="4" w:space="0" w:color="1F4E79"/>
            </w:tcBorders>
          </w:tcPr>
          <w:p>
            <w:r>
              <w:rPr>
                <w:rFonts w:ascii="Arial" w:hAnsi="Arial"/>
                <w:b/>
                <w:color w:val="FFFFFF"/>
                <w:sz w:val="18"/>
              </w:rPr>
              <w:t>Scope Hash (SHA-256)</w:t>
            </w:r>
          </w:p>
        </w:tc>
        <w:tc>
          <w:tcPr>
            <w:tcW w:type="dxa" w:w="720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sz w:val="18"/>
              </w:rPr>
              <w:t>68fe459fabd1b7029dc74d158d4076089e69cc270a8e95a945200b3bc5d4ce1a</w:t>
            </w:r>
          </w:p>
        </w:tc>
      </w:tr>
      <w:tr>
        <w:tc>
          <w:tcPr>
            <w:tcW w:type="dxa" w:w="3168"/>
            <w:shd w:val="clear" w:color="auto" w:fill="1F4E79"/>
            <w:tcBorders>
              <w:top w:val="single" w:sz="4" w:space="0" w:color="1F4E79"/>
              <w:left w:val="single" w:sz="4" w:space="0" w:color="1F4E79"/>
              <w:bottom w:val="single" w:sz="4" w:space="0" w:color="1F4E79"/>
              <w:right w:val="single" w:sz="4" w:space="0" w:color="1F4E79"/>
            </w:tcBorders>
          </w:tcPr>
          <w:p>
            <w:r>
              <w:rPr>
                <w:rFonts w:ascii="Arial" w:hAnsi="Arial"/>
                <w:b/>
                <w:color w:val="FFFFFF"/>
                <w:sz w:val="18"/>
              </w:rPr>
              <w:t>Operator ID (SHA-256)</w:t>
            </w:r>
          </w:p>
        </w:tc>
        <w:tc>
          <w:tcPr>
            <w:tcW w:type="dxa" w:w="720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sz w:val="18"/>
              </w:rPr>
              <w:t>e574ec6ee3c6fe870992d7294bfbb5575c01b2ca620ec5c4059461f5dc55cc8d</w:t>
            </w:r>
          </w:p>
        </w:tc>
      </w:tr>
    </w:tbl>
    <w:p/>
    <w:p>
      <w:pPr>
        <w:spacing w:before="120" w:after="120"/>
      </w:pPr>
      <w:r>
        <w:rPr>
          <w:rFonts w:ascii="Arial" w:hAnsi="Arial"/>
          <w:b/>
          <w:i/>
          <w:color w:val="1F4E79"/>
          <w:sz w:val="18"/>
        </w:rPr>
        <w:t>NOTICE: This document contains sensitive security information. Distribution is strictly limited to signatories and their designated representatives. Unauthorized disclosure may constitute a violation of applicable law.</w:t>
      </w:r>
    </w:p>
    <w:p>
      <w:pPr>
        <w:spacing w:before="120" w:after="120"/>
      </w:pPr>
      <w:r>
        <w:rPr>
          <w:rFonts w:ascii="Arial" w:hAnsi="Arial"/>
          <w:b/>
          <w:i/>
          <w:color w:val="1F4E79"/>
          <w:sz w:val="18"/>
        </w:rPr>
        <w:t>STANDARDS ALIGNMENT: This document was produced using ScopeGuard and aligns with MITRE ATT&amp;CK Enterprise v15, NIST SP 800-115, PTES, OWASP Testing Guide v4.2, CVSS v3.1, CVE/NVD, and CWE. Technique references in the accompanying Rules of Engagement use ATT&amp;CK Tactic and Technique IDs. See ROE Appendix A.</w:t>
      </w:r>
    </w:p>
    <w:p/>
    <w:p>
      <w:pPr>
        <w:spacing w:before="240" w:after="80"/>
        <w:jc w:val="left"/>
        <w:pBdr>
          <w:bottom w:val="single" w:sz="8" w:space="1" w:color="2E75B6"/>
        </w:pBdr>
      </w:pPr>
      <w:r>
        <w:rPr>
          <w:rFonts w:ascii="Arial" w:hAnsi="Arial"/>
          <w:b/>
          <w:color w:val="1A1A2E"/>
          <w:sz w:val="26"/>
        </w:rPr>
        <w:t>1. Engagement Overview</w:t>
      </w:r>
    </w:p>
    <w:p>
      <w:pPr>
        <w:spacing w:before="240" w:after="80"/>
        <w:jc w:val="left"/>
        <w:pBdr>
          <w:bottom w:val="single" w:sz="4" w:space="1" w:color="2E75B6"/>
        </w:pBdr>
      </w:pPr>
      <w:r>
        <w:rPr>
          <w:rFonts w:ascii="Arial" w:hAnsi="Arial"/>
          <w:b/>
          <w:color w:val="1A1A2E"/>
          <w:sz w:val="22"/>
        </w:rPr>
        <w:t>1.1 Purpose and Authorization</w:t>
      </w:r>
    </w:p>
    <w:p>
      <w:pPr>
        <w:spacing w:after="80"/>
      </w:pPr>
      <w:r>
        <w:rPr>
          <w:rFonts w:ascii="Arial" w:hAnsi="Arial"/>
          <w:b w:val="0"/>
          <w:i w:val="0"/>
          <w:sz w:val="20"/>
        </w:rPr>
        <w:t>This Scope of Work and Authorization Agreement (hereinafter 'Agreement') constitutes written authorization by Meridian Community Bank, N.A. (hereinafter 'Client') for Redline Security Group LLC (hereinafter 'Testing Team') to conduct a full scope penetration test against Client-owned and Client-operated information systems and physical facilities as defined herein.</w:t>
      </w:r>
    </w:p>
    <w:p>
      <w:pPr>
        <w:spacing w:after="80"/>
      </w:pPr>
      <w:r>
        <w:rPr>
          <w:rFonts w:ascii="Arial" w:hAnsi="Arial"/>
          <w:b w:val="0"/>
          <w:i w:val="0"/>
          <w:sz w:val="20"/>
        </w:rPr>
        <w:t>This Agreement is entered into pursuant to the Client's obligations under GLBA, PCI-DSS and the Client's internal information security policy mandating periodic penetration testing of critical systems.</w:t>
      </w:r>
    </w:p>
    <w:p>
      <w:pPr>
        <w:spacing w:after="80"/>
      </w:pPr>
      <w:r>
        <w:rPr>
          <w:rFonts w:ascii="Arial" w:hAnsi="Arial"/>
          <w:b/>
          <w:i w:val="0"/>
          <w:sz w:val="20"/>
        </w:rPr>
        <w:t>No testing activity may commence prior to full execution of this Agreement and the accompanying Rules of Engagement document. Commencement of testing without both documents fully executed by authorized representatives of both parties constitutes unauthorized access under applicable federal and state computer fraud statutes.</w:t>
      </w:r>
    </w:p>
    <w:p>
      <w:pPr>
        <w:spacing w:before="240" w:after="80"/>
        <w:jc w:val="left"/>
        <w:pBdr>
          <w:bottom w:val="single" w:sz="4" w:space="1" w:color="2E75B6"/>
        </w:pBdr>
      </w:pPr>
      <w:r>
        <w:rPr>
          <w:rFonts w:ascii="Arial" w:hAnsi="Arial"/>
          <w:b/>
          <w:color w:val="1A1A2E"/>
          <w:sz w:val="22"/>
        </w:rPr>
        <w:t>1.2 Engagement Identification</w:t>
      </w:r>
    </w:p>
    <w:tbl>
      <w:tblPr>
        <w:tblStyle w:val="TableGrid"/>
        <w:tblW w:type="auto" w:w="0"/>
        <w:jc w:val="left"/>
        <w:tblLook w:firstColumn="1" w:firstRow="1" w:lastColumn="0" w:lastRow="0" w:noHBand="0" w:noVBand="1" w:val="04A0"/>
      </w:tblPr>
      <w:tblGrid>
        <w:gridCol w:w="4680"/>
        <w:gridCol w:w="4680"/>
      </w:tblGrid>
      <w:tr>
        <w:trPr>
          <w:trHeight w:val="397"/>
        </w:trPr>
        <w:tc>
          <w:tcPr>
            <w:tcW w:type="dxa" w:w="3600"/>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Field</w:t>
            </w:r>
          </w:p>
        </w:tc>
        <w:tc>
          <w:tcPr>
            <w:tcW w:type="dxa" w:w="6480"/>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Value</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Engagement ID</w:t>
            </w:r>
          </w:p>
        </w:tc>
        <w:tc>
          <w:tcPr>
            <w:tcW w:type="dxa" w:w="648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MCB-2026-PT-001</w:t>
            </w:r>
          </w:p>
        </w:tc>
      </w:tr>
      <w:tr>
        <w:tc>
          <w:tcPr>
            <w:tcW w:type="dxa" w:w="360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SOW Reference</w:t>
            </w:r>
          </w:p>
        </w:tc>
        <w:tc>
          <w:tcPr>
            <w:tcW w:type="dxa" w:w="648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RSG-SOW-2026-0342</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Master Service Agreement</w:t>
            </w:r>
          </w:p>
        </w:tc>
        <w:tc>
          <w:tcPr>
            <w:tcW w:type="dxa" w:w="648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RSG-MSA-MCB-2024-001</w:t>
            </w:r>
          </w:p>
        </w:tc>
      </w:tr>
      <w:tr>
        <w:tc>
          <w:tcPr>
            <w:tcW w:type="dxa" w:w="360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Engagement Type</w:t>
            </w:r>
          </w:p>
        </w:tc>
        <w:tc>
          <w:tcPr>
            <w:tcW w:type="dxa" w:w="648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Full Scope</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Authorization Basis</w:t>
            </w:r>
          </w:p>
        </w:tc>
        <w:tc>
          <w:tcPr>
            <w:tcW w:type="dxa" w:w="648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GLBA, PCI-DSS</w:t>
            </w:r>
          </w:p>
        </w:tc>
      </w:tr>
      <w:tr>
        <w:tc>
          <w:tcPr>
            <w:tcW w:type="dxa" w:w="360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Scope ID</w:t>
            </w:r>
          </w:p>
        </w:tc>
        <w:tc>
          <w:tcPr>
            <w:tcW w:type="dxa" w:w="648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c9e913cc-c714-52d8-9c41-021545edce78</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Scope Hash (SHA-256)</w:t>
            </w:r>
          </w:p>
        </w:tc>
        <w:tc>
          <w:tcPr>
            <w:tcW w:type="dxa" w:w="648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68fe459fabd1b7029dc74d158d4076089e69cc270a8e95a945200b3bc5d4ce1a</w:t>
            </w:r>
          </w:p>
        </w:tc>
      </w:tr>
      <w:tr>
        <w:tc>
          <w:tcPr>
            <w:tcW w:type="dxa" w:w="360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Operator ID (SHA-256)</w:t>
            </w:r>
          </w:p>
        </w:tc>
        <w:tc>
          <w:tcPr>
            <w:tcW w:type="dxa" w:w="648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e574ec6ee3c6fe870992d7294bfbb5575c01b2ca620ec5c4059461f5dc55cc8d</w:t>
            </w:r>
          </w:p>
        </w:tc>
      </w:tr>
    </w:tbl>
    <w:p/>
    <w:p>
      <w:pPr>
        <w:spacing w:before="240" w:after="80"/>
        <w:jc w:val="left"/>
        <w:pBdr>
          <w:bottom w:val="single" w:sz="4" w:space="1" w:color="2E75B6"/>
        </w:pBdr>
      </w:pPr>
      <w:r>
        <w:rPr>
          <w:rFonts w:ascii="Arial" w:hAnsi="Arial"/>
          <w:b/>
          <w:color w:val="1A1A2E"/>
          <w:sz w:val="22"/>
        </w:rPr>
        <w:t>1.3 Engagement Period</w:t>
      </w:r>
    </w:p>
    <w:tbl>
      <w:tblPr>
        <w:tblStyle w:val="TableGrid"/>
        <w:tblW w:type="auto" w:w="0"/>
        <w:jc w:val="left"/>
        <w:tblLook w:firstColumn="1" w:firstRow="1" w:lastColumn="0" w:lastRow="0" w:noHBand="0" w:noVBand="1" w:val="04A0"/>
      </w:tblPr>
      <w:tblGrid>
        <w:gridCol w:w="4680"/>
        <w:gridCol w:w="4680"/>
      </w:tblGrid>
      <w:tr>
        <w:trPr>
          <w:trHeight w:val="397"/>
        </w:trPr>
        <w:tc>
          <w:tcPr>
            <w:tcW w:type="dxa" w:w="3600"/>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Period</w:t>
            </w:r>
          </w:p>
        </w:tc>
        <w:tc>
          <w:tcPr>
            <w:tcW w:type="dxa" w:w="6480"/>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Value</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Authorized Start Date</w:t>
            </w:r>
          </w:p>
        </w:tc>
        <w:tc>
          <w:tcPr>
            <w:tcW w:type="dxa" w:w="648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April 07, 2026 — 06:00 ET</w:t>
            </w:r>
          </w:p>
        </w:tc>
      </w:tr>
      <w:tr>
        <w:tc>
          <w:tcPr>
            <w:tcW w:type="dxa" w:w="360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Authorized End Date</w:t>
            </w:r>
          </w:p>
        </w:tc>
        <w:tc>
          <w:tcPr>
            <w:tcW w:type="dxa" w:w="648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April 25, 2026 — 22:00 ET</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Active Testing Window</w:t>
            </w:r>
          </w:p>
        </w:tc>
        <w:tc>
          <w:tcPr>
            <w:tcW w:type="dxa" w:w="648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Mon, Tue, Wed, Thu, Fri, 06:00 ET – 22:00 ET</w:t>
            </w:r>
          </w:p>
        </w:tc>
      </w:tr>
      <w:tr>
        <w:tc>
          <w:tcPr>
            <w:tcW w:type="dxa" w:w="360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Report Draft Due</w:t>
            </w:r>
          </w:p>
        </w:tc>
        <w:tc>
          <w:tcPr>
            <w:tcW w:type="dxa" w:w="648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May 02, 2026</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Final Report Due</w:t>
            </w:r>
          </w:p>
        </w:tc>
        <w:tc>
          <w:tcPr>
            <w:tcW w:type="dxa" w:w="648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May 09, 2026</w:t>
            </w:r>
          </w:p>
        </w:tc>
      </w:tr>
      <w:tr>
        <w:tc>
          <w:tcPr>
            <w:tcW w:type="dxa" w:w="360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Blackout Dates</w:t>
            </w:r>
          </w:p>
        </w:tc>
        <w:tc>
          <w:tcPr>
            <w:tcW w:type="dxa" w:w="648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2026-04-15 (Tax filing deadline — no testing)</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Retest Window</w:t>
            </w:r>
          </w:p>
        </w:tc>
        <w:tc>
          <w:tcPr>
            <w:tcW w:type="dxa" w:w="648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May 05, 2026 – May 16, 2026</w:t>
            </w:r>
          </w:p>
        </w:tc>
      </w:tr>
    </w:tbl>
    <w:p/>
    <w:p>
      <w:pPr>
        <w:spacing w:before="240" w:after="80"/>
        <w:jc w:val="left"/>
        <w:pBdr>
          <w:bottom w:val="single" w:sz="8" w:space="1" w:color="2E75B6"/>
        </w:pBdr>
      </w:pPr>
      <w:r>
        <w:rPr>
          <w:rFonts w:ascii="Arial" w:hAnsi="Arial"/>
          <w:b/>
          <w:color w:val="1A1A2E"/>
          <w:sz w:val="26"/>
        </w:rPr>
        <w:t>2. Client and Testing Team Contacts</w:t>
      </w:r>
    </w:p>
    <w:p>
      <w:pPr>
        <w:spacing w:before="240" w:after="80"/>
        <w:jc w:val="left"/>
        <w:pBdr>
          <w:bottom w:val="single" w:sz="4" w:space="1" w:color="2E75B6"/>
        </w:pBdr>
      </w:pPr>
      <w:r>
        <w:rPr>
          <w:rFonts w:ascii="Arial" w:hAnsi="Arial"/>
          <w:b/>
          <w:color w:val="1A1A2E"/>
          <w:sz w:val="22"/>
        </w:rPr>
        <w:t>2.1 Client Authorized Representatives</w:t>
      </w:r>
    </w:p>
    <w:tbl>
      <w:tblPr>
        <w:tblStyle w:val="TableGrid"/>
        <w:tblW w:type="auto" w:w="0"/>
        <w:jc w:val="left"/>
        <w:tblLook w:firstColumn="1" w:firstRow="1" w:lastColumn="0" w:lastRow="0" w:noHBand="0" w:noVBand="1" w:val="04A0"/>
      </w:tblPr>
      <w:tblGrid>
        <w:gridCol w:w="1872"/>
        <w:gridCol w:w="1872"/>
        <w:gridCol w:w="1872"/>
        <w:gridCol w:w="1872"/>
        <w:gridCol w:w="1872"/>
      </w:tblGrid>
      <w:tr>
        <w:trPr>
          <w:trHeight w:val="397"/>
        </w:trPr>
        <w:tc>
          <w:tcPr>
            <w:tcW w:type="dxa" w:w="2592"/>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Role</w:t>
            </w:r>
          </w:p>
        </w:tc>
        <w:tc>
          <w:tcPr>
            <w:tcW w:type="dxa" w:w="2016"/>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Name</w:t>
            </w:r>
          </w:p>
        </w:tc>
        <w:tc>
          <w:tcPr>
            <w:tcW w:type="dxa" w:w="2016"/>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Title</w:t>
            </w:r>
          </w:p>
        </w:tc>
        <w:tc>
          <w:tcPr>
            <w:tcW w:type="dxa" w:w="1728"/>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Phone</w:t>
            </w:r>
          </w:p>
        </w:tc>
        <w:tc>
          <w:tcPr>
            <w:tcW w:type="dxa" w:w="2448"/>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Email</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Authorizing Executive</w:t>
            </w:r>
          </w:p>
        </w:tc>
        <w:tc>
          <w:tcPr>
            <w:tcW w:type="dxa" w:w="2016"/>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Sandra K. Whitfield</w:t>
            </w:r>
          </w:p>
        </w:tc>
        <w:tc>
          <w:tcPr>
            <w:tcW w:type="dxa" w:w="2016"/>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Chief Information Security Officer</w:t>
            </w:r>
          </w:p>
        </w:tc>
        <w:tc>
          <w:tcPr>
            <w:tcW w:type="dxa" w:w="1728"/>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(614) 555-0142</w:t>
            </w:r>
          </w:p>
        </w:tc>
        <w:tc>
          <w:tcPr>
            <w:tcW w:type="dxa" w:w="2448"/>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s.whitfield@meridianbank.com</w:t>
            </w:r>
          </w:p>
        </w:tc>
      </w:tr>
      <w:tr>
        <w:tc>
          <w:tcPr>
            <w:tcW w:type="dxa" w:w="2592"/>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Primary Technical Contact</w:t>
            </w:r>
          </w:p>
        </w:tc>
        <w:tc>
          <w:tcPr>
            <w:tcW w:type="dxa" w:w="2016"/>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James R. Okafor</w:t>
            </w:r>
          </w:p>
        </w:tc>
        <w:tc>
          <w:tcPr>
            <w:tcW w:type="dxa" w:w="2016"/>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VP Network Infrastructure</w:t>
            </w:r>
          </w:p>
        </w:tc>
        <w:tc>
          <w:tcPr>
            <w:tcW w:type="dxa" w:w="1728"/>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(614) 555-0187</w:t>
            </w:r>
          </w:p>
        </w:tc>
        <w:tc>
          <w:tcPr>
            <w:tcW w:type="dxa" w:w="2448"/>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j.okafor@meridianbank.com</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Business Continuity Contact</w:t>
            </w:r>
          </w:p>
        </w:tc>
        <w:tc>
          <w:tcPr>
            <w:tcW w:type="dxa" w:w="2016"/>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Patricia L. Delgado</w:t>
            </w:r>
          </w:p>
        </w:tc>
        <w:tc>
          <w:tcPr>
            <w:tcW w:type="dxa" w:w="2016"/>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SVP Operations</w:t>
            </w:r>
          </w:p>
        </w:tc>
        <w:tc>
          <w:tcPr>
            <w:tcW w:type="dxa" w:w="1728"/>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(614) 555-0109</w:t>
            </w:r>
          </w:p>
        </w:tc>
        <w:tc>
          <w:tcPr>
            <w:tcW w:type="dxa" w:w="2448"/>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p.delgado@meridianbank.com</w:t>
            </w:r>
          </w:p>
        </w:tc>
      </w:tr>
      <w:tr>
        <w:tc>
          <w:tcPr>
            <w:tcW w:type="dxa" w:w="2592"/>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Legal Counsel</w:t>
            </w:r>
          </w:p>
        </w:tc>
        <w:tc>
          <w:tcPr>
            <w:tcW w:type="dxa" w:w="2016"/>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Thomas Brauer</w:t>
            </w:r>
          </w:p>
        </w:tc>
        <w:tc>
          <w:tcPr>
            <w:tcW w:type="dxa" w:w="2016"/>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General Counsel</w:t>
            </w:r>
          </w:p>
        </w:tc>
        <w:tc>
          <w:tcPr>
            <w:tcW w:type="dxa" w:w="1728"/>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(614) 555-0155</w:t>
            </w:r>
          </w:p>
        </w:tc>
        <w:tc>
          <w:tcPr>
            <w:tcW w:type="dxa" w:w="2448"/>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t.brauer@meridianbank.com</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Soc Duty Contact</w:t>
            </w:r>
          </w:p>
        </w:tc>
        <w:tc>
          <w:tcPr>
            <w:tcW w:type="dxa" w:w="2016"/>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NOC Duty Desk</w:t>
            </w:r>
          </w:p>
        </w:tc>
        <w:tc>
          <w:tcPr>
            <w:tcW w:type="dxa" w:w="2016"/>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24/7 Operations</w:t>
            </w:r>
          </w:p>
        </w:tc>
        <w:tc>
          <w:tcPr>
            <w:tcW w:type="dxa" w:w="1728"/>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(614) 555-0100</w:t>
            </w:r>
          </w:p>
        </w:tc>
        <w:tc>
          <w:tcPr>
            <w:tcW w:type="dxa" w:w="2448"/>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soc@meridianbank.com</w:t>
            </w:r>
          </w:p>
        </w:tc>
      </w:tr>
      <w:tr>
        <w:tc>
          <w:tcPr>
            <w:tcW w:type="dxa" w:w="2592"/>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Physical Security Manager</w:t>
            </w:r>
          </w:p>
        </w:tc>
        <w:tc>
          <w:tcPr>
            <w:tcW w:type="dxa" w:w="2016"/>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Robert C. Fenn</w:t>
            </w:r>
          </w:p>
        </w:tc>
        <w:tc>
          <w:tcPr>
            <w:tcW w:type="dxa" w:w="2016"/>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Facilities Security Director</w:t>
            </w:r>
          </w:p>
        </w:tc>
        <w:tc>
          <w:tcPr>
            <w:tcW w:type="dxa" w:w="1728"/>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(614) 555-0122</w:t>
            </w:r>
          </w:p>
        </w:tc>
        <w:tc>
          <w:tcPr>
            <w:tcW w:type="dxa" w:w="2448"/>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r.fenn@meridianbank.com</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Emergency Halt Authority</w:t>
            </w:r>
          </w:p>
        </w:tc>
        <w:tc>
          <w:tcPr>
            <w:tcW w:type="dxa" w:w="2016"/>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Sandra K. Whitfield</w:t>
            </w:r>
          </w:p>
        </w:tc>
        <w:tc>
          <w:tcPr>
            <w:tcW w:type="dxa" w:w="2016"/>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Chief Information Security Officer</w:t>
            </w:r>
          </w:p>
        </w:tc>
        <w:tc>
          <w:tcPr>
            <w:tcW w:type="dxa" w:w="1728"/>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(614) 555-0142</w:t>
            </w:r>
          </w:p>
        </w:tc>
        <w:tc>
          <w:tcPr>
            <w:tcW w:type="dxa" w:w="2448"/>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s.whitfield@meridianbank.com</w:t>
            </w:r>
          </w:p>
        </w:tc>
      </w:tr>
    </w:tbl>
    <w:p/>
    <w:p>
      <w:pPr>
        <w:spacing w:after="80"/>
      </w:pPr>
      <w:r>
        <w:rPr>
          <w:rFonts w:ascii="Arial" w:hAnsi="Arial"/>
          <w:b w:val="0"/>
          <w:i w:val="0"/>
          <w:sz w:val="20"/>
        </w:rPr>
        <w:t>Emergency out-of-band contact for immediate test suspension: Sandra K. Whitfield mobile (614) 555-0199. This number is to be used exclusively in the event that active testing must be halted immediately and normal communication channels are unavailable.</w:t>
      </w:r>
    </w:p>
    <w:p>
      <w:pPr>
        <w:spacing w:before="240" w:after="80"/>
        <w:jc w:val="left"/>
        <w:pBdr>
          <w:bottom w:val="single" w:sz="4" w:space="1" w:color="2E75B6"/>
        </w:pBdr>
      </w:pPr>
      <w:r>
        <w:rPr>
          <w:rFonts w:ascii="Arial" w:hAnsi="Arial"/>
          <w:b/>
          <w:color w:val="1A1A2E"/>
          <w:sz w:val="22"/>
        </w:rPr>
        <w:t>2.2 Testing Team Personnel</w:t>
      </w:r>
    </w:p>
    <w:tbl>
      <w:tblPr>
        <w:tblStyle w:val="TableGrid"/>
        <w:tblW w:type="auto" w:w="0"/>
        <w:jc w:val="left"/>
        <w:tblLook w:firstColumn="1" w:firstRow="1" w:lastColumn="0" w:lastRow="0" w:noHBand="0" w:noVBand="1" w:val="04A0"/>
      </w:tblPr>
      <w:tblGrid>
        <w:gridCol w:w="1872"/>
        <w:gridCol w:w="1872"/>
        <w:gridCol w:w="1872"/>
        <w:gridCol w:w="1872"/>
        <w:gridCol w:w="1872"/>
      </w:tblGrid>
      <w:tr>
        <w:trPr>
          <w:trHeight w:val="397"/>
        </w:trPr>
        <w:tc>
          <w:tcPr>
            <w:tcW w:type="dxa" w:w="2304"/>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Name</w:t>
            </w:r>
          </w:p>
        </w:tc>
        <w:tc>
          <w:tcPr>
            <w:tcW w:type="dxa" w:w="1728"/>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Role</w:t>
            </w:r>
          </w:p>
        </w:tc>
        <w:tc>
          <w:tcPr>
            <w:tcW w:type="dxa" w:w="2016"/>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Certifications</w:t>
            </w:r>
          </w:p>
        </w:tc>
        <w:tc>
          <w:tcPr>
            <w:tcW w:type="dxa" w:w="2592"/>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Authorized Source IP(s)</w:t>
            </w:r>
          </w:p>
        </w:tc>
        <w:tc>
          <w:tcPr>
            <w:tcW w:type="dxa" w:w="2160"/>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Contact</w:t>
            </w:r>
          </w:p>
        </w:tc>
      </w:tr>
      <w:tr>
        <w:tc>
          <w:tcPr>
            <w:tcW w:type="dxa" w:w="2304"/>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Marcus T. Holloway</w:t>
            </w:r>
          </w:p>
        </w:tc>
        <w:tc>
          <w:tcPr>
            <w:tcW w:type="dxa" w:w="1728"/>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Engagement Lead</w:t>
            </w:r>
          </w:p>
        </w:tc>
        <w:tc>
          <w:tcPr>
            <w:tcW w:type="dxa" w:w="2016"/>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OSCP, CISSP, CEH</w:t>
            </w:r>
          </w:p>
        </w:tc>
        <w:tc>
          <w:tcPr>
            <w:tcW w:type="dxa" w:w="2592"/>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198.51.100.42, 198.51.100.43</w:t>
            </w:r>
          </w:p>
        </w:tc>
        <w:tc>
          <w:tcPr>
            <w:tcW w:type="dxa" w:w="216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m.holloway@redlinesec.com</w:t>
            </w:r>
          </w:p>
        </w:tc>
      </w:tr>
      <w:tr>
        <w:tc>
          <w:tcPr>
            <w:tcW w:type="dxa" w:w="2304"/>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Yuki A. Tanaka</w:t>
            </w:r>
          </w:p>
        </w:tc>
        <w:tc>
          <w:tcPr>
            <w:tcW w:type="dxa" w:w="1728"/>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Team Member</w:t>
            </w:r>
          </w:p>
        </w:tc>
        <w:tc>
          <w:tcPr>
            <w:tcW w:type="dxa" w:w="2016"/>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OSCP, GPEN</w:t>
            </w:r>
          </w:p>
        </w:tc>
        <w:tc>
          <w:tcPr>
            <w:tcW w:type="dxa" w:w="2592"/>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198.51.100.42, 198.51.100.43</w:t>
            </w:r>
          </w:p>
        </w:tc>
        <w:tc>
          <w:tcPr>
            <w:tcW w:type="dxa" w:w="216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y.tanaka@redlinesec.com</w:t>
            </w:r>
          </w:p>
        </w:tc>
      </w:tr>
      <w:tr>
        <w:tc>
          <w:tcPr>
            <w:tcW w:type="dxa" w:w="2304"/>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Devorah S. Abrams</w:t>
            </w:r>
          </w:p>
        </w:tc>
        <w:tc>
          <w:tcPr>
            <w:tcW w:type="dxa" w:w="1728"/>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Team Member</w:t>
            </w:r>
          </w:p>
        </w:tc>
        <w:tc>
          <w:tcPr>
            <w:tcW w:type="dxa" w:w="2016"/>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OSWE, BSCP</w:t>
            </w:r>
          </w:p>
        </w:tc>
        <w:tc>
          <w:tcPr>
            <w:tcW w:type="dxa" w:w="2592"/>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198.51.100.42, 198.51.100.43</w:t>
            </w:r>
          </w:p>
        </w:tc>
        <w:tc>
          <w:tcPr>
            <w:tcW w:type="dxa" w:w="216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d.abrams@redlinesec.com</w:t>
            </w:r>
          </w:p>
        </w:tc>
      </w:tr>
      <w:tr>
        <w:tc>
          <w:tcPr>
            <w:tcW w:type="dxa" w:w="2304"/>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Colt R. Vasquez</w:t>
            </w:r>
          </w:p>
        </w:tc>
        <w:tc>
          <w:tcPr>
            <w:tcW w:type="dxa" w:w="1728"/>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Team Member</w:t>
            </w:r>
          </w:p>
        </w:tc>
        <w:tc>
          <w:tcPr>
            <w:tcW w:type="dxa" w:w="2016"/>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OSCP, CEH</w:t>
            </w:r>
          </w:p>
        </w:tc>
        <w:tc>
          <w:tcPr>
            <w:tcW w:type="dxa" w:w="2592"/>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N/A — Physical/SE</w:t>
            </w:r>
          </w:p>
        </w:tc>
        <w:tc>
          <w:tcPr>
            <w:tcW w:type="dxa" w:w="216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c.vasquez@redlinesec.com</w:t>
            </w:r>
          </w:p>
        </w:tc>
      </w:tr>
      <w:tr>
        <w:tc>
          <w:tcPr>
            <w:tcW w:type="dxa" w:w="2304"/>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Priya N. Mehta</w:t>
            </w:r>
          </w:p>
        </w:tc>
        <w:tc>
          <w:tcPr>
            <w:tcW w:type="dxa" w:w="1728"/>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Team Member</w:t>
            </w:r>
          </w:p>
        </w:tc>
        <w:tc>
          <w:tcPr>
            <w:tcW w:type="dxa" w:w="2016"/>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GCTI, GSEC</w:t>
            </w:r>
          </w:p>
        </w:tc>
        <w:tc>
          <w:tcPr>
            <w:tcW w:type="dxa" w:w="2592"/>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198.51.100.42</w:t>
            </w:r>
          </w:p>
        </w:tc>
        <w:tc>
          <w:tcPr>
            <w:tcW w:type="dxa" w:w="216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p.mehta@redlinesec.com</w:t>
            </w:r>
          </w:p>
        </w:tc>
      </w:tr>
    </w:tbl>
    <w:p/>
    <w:p>
      <w:pPr>
        <w:spacing w:before="240" w:after="80"/>
        <w:jc w:val="left"/>
        <w:pBdr>
          <w:bottom w:val="single" w:sz="8" w:space="1" w:color="2E75B6"/>
        </w:pBdr>
      </w:pPr>
      <w:r>
        <w:rPr>
          <w:rFonts w:ascii="Arial" w:hAnsi="Arial"/>
          <w:b/>
          <w:color w:val="1A1A2E"/>
          <w:sz w:val="26"/>
        </w:rPr>
        <w:t>3. Scope Definition</w:t>
      </w:r>
    </w:p>
    <w:p>
      <w:pPr>
        <w:spacing w:before="240" w:after="80"/>
        <w:jc w:val="left"/>
        <w:pBdr>
          <w:bottom w:val="single" w:sz="4" w:space="1" w:color="2E75B6"/>
        </w:pBdr>
      </w:pPr>
      <w:r>
        <w:rPr>
          <w:rFonts w:ascii="Arial" w:hAnsi="Arial"/>
          <w:b/>
          <w:color w:val="1A1A2E"/>
          <w:sz w:val="22"/>
        </w:rPr>
        <w:t>3.1 In-Scope Networks and Hosts</w:t>
      </w:r>
    </w:p>
    <w:p>
      <w:pPr>
        <w:spacing w:after="80"/>
      </w:pPr>
      <w:r>
        <w:rPr>
          <w:rFonts w:ascii="Arial" w:hAnsi="Arial"/>
          <w:b w:val="0"/>
          <w:i w:val="0"/>
          <w:sz w:val="20"/>
        </w:rPr>
        <w:t>The following networks, VLANs, and devices are authorized for testing. Each asset is listed with its device classification, network addressing, and delivery method. All assets are individually authorized — the testing team may not expand scope to adjacent assets without written amendment.</w:t>
      </w:r>
    </w:p>
    <w:tbl>
      <w:tblPr>
        <w:tblStyle w:val="TableGrid"/>
        <w:tblW w:type="auto" w:w="0"/>
        <w:jc w:val="left"/>
        <w:tblLook w:firstColumn="1" w:firstRow="1" w:lastColumn="0" w:lastRow="0" w:noHBand="0" w:noVBand="1" w:val="04A0"/>
      </w:tblPr>
      <w:tblGrid>
        <w:gridCol w:w="1040"/>
        <w:gridCol w:w="1040"/>
        <w:gridCol w:w="1040"/>
        <w:gridCol w:w="1040"/>
        <w:gridCol w:w="1040"/>
        <w:gridCol w:w="1040"/>
        <w:gridCol w:w="1040"/>
        <w:gridCol w:w="1040"/>
        <w:gridCol w:w="1040"/>
      </w:tblGrid>
      <w:tr>
        <w:trPr>
          <w:trHeight w:val="397"/>
        </w:trPr>
        <w:tc>
          <w:tcPr>
            <w:tcW w:type="dxa" w:w="1872"/>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Asset / Segment</w:t>
            </w:r>
          </w:p>
        </w:tc>
        <w:tc>
          <w:tcPr>
            <w:tcW w:type="dxa" w:w="1224"/>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Type</w:t>
            </w:r>
          </w:p>
        </w:tc>
        <w:tc>
          <w:tcPr>
            <w:tcW w:type="dxa" w:w="1512"/>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CIDR / Mask</w:t>
            </w:r>
          </w:p>
        </w:tc>
        <w:tc>
          <w:tcPr>
            <w:tcW w:type="dxa" w:w="1440"/>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IP / Host</w:t>
            </w:r>
          </w:p>
        </w:tc>
        <w:tc>
          <w:tcPr>
            <w:tcW w:type="dxa" w:w="648"/>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VLAN</w:t>
            </w:r>
          </w:p>
        </w:tc>
        <w:tc>
          <w:tcPr>
            <w:tcW w:type="dxa" w:w="1296"/>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MAC</w:t>
            </w:r>
          </w:p>
        </w:tc>
        <w:tc>
          <w:tcPr>
            <w:tcW w:type="dxa" w:w="1368"/>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OS / Platform</w:t>
            </w:r>
          </w:p>
        </w:tc>
        <w:tc>
          <w:tcPr>
            <w:tcW w:type="dxa" w:w="936"/>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Delivery</w:t>
            </w:r>
          </w:p>
        </w:tc>
        <w:tc>
          <w:tcPr>
            <w:tcW w:type="dxa" w:w="1872"/>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Description</w:t>
            </w:r>
          </w:p>
        </w:tc>
      </w:tr>
      <w:tr>
        <w:tc>
          <w:tcPr>
            <w:tcW w:type="dxa" w:w="1872"/>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Core Banking Network</w:t>
            </w:r>
          </w:p>
        </w:tc>
        <w:tc>
          <w:tcPr>
            <w:tcW w:type="dxa" w:w="1224"/>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Network Segment, VLAN</w:t>
            </w:r>
          </w:p>
        </w:tc>
        <w:tc>
          <w:tcPr>
            <w:tcW w:type="dxa" w:w="1512"/>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10.10.0.0/22 / 255.255.252.0</w:t>
            </w:r>
          </w:p>
        </w:tc>
        <w:tc>
          <w:tcPr>
            <w:tcW w:type="dxa" w:w="144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r>
          </w:p>
        </w:tc>
        <w:tc>
          <w:tcPr>
            <w:tcW w:type="dxa" w:w="648"/>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10</w:t>
            </w:r>
          </w:p>
        </w:tc>
        <w:tc>
          <w:tcPr>
            <w:tcW w:type="dxa" w:w="1296"/>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r>
          </w:p>
        </w:tc>
        <w:tc>
          <w:tcPr>
            <w:tcW w:type="dxa" w:w="1368"/>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r>
          </w:p>
        </w:tc>
        <w:tc>
          <w:tcPr>
            <w:tcW w:type="dxa" w:w="936"/>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network discoverable</w:t>
            </w:r>
          </w:p>
        </w:tc>
        <w:tc>
          <w:tcPr>
            <w:tcW w:type="dxa" w:w="1872"/>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Primary production banking systems</w:t>
            </w:r>
          </w:p>
        </w:tc>
      </w:tr>
      <w:tr>
        <w:tc>
          <w:tcPr>
            <w:tcW w:type="dxa" w:w="1872"/>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DMZ / Internet-Facing</w:t>
            </w:r>
          </w:p>
        </w:tc>
        <w:tc>
          <w:tcPr>
            <w:tcW w:type="dxa" w:w="1224"/>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Network Segment, Firewall, Next-Gen Firewall</w:t>
            </w:r>
          </w:p>
        </w:tc>
        <w:tc>
          <w:tcPr>
            <w:tcW w:type="dxa" w:w="1512"/>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10.20.0.0/24 / 255.255.255.0</w:t>
            </w:r>
          </w:p>
        </w:tc>
        <w:tc>
          <w:tcPr>
            <w:tcW w:type="dxa" w:w="144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r>
          </w:p>
        </w:tc>
        <w:tc>
          <w:tcPr>
            <w:tcW w:type="dxa" w:w="648"/>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20</w:t>
            </w:r>
          </w:p>
        </w:tc>
        <w:tc>
          <w:tcPr>
            <w:tcW w:type="dxa" w:w="1296"/>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r>
          </w:p>
        </w:tc>
        <w:tc>
          <w:tcPr>
            <w:tcW w:type="dxa" w:w="1368"/>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r>
          </w:p>
        </w:tc>
        <w:tc>
          <w:tcPr>
            <w:tcW w:type="dxa" w:w="936"/>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network discoverable</w:t>
            </w:r>
          </w:p>
        </w:tc>
        <w:tc>
          <w:tcPr>
            <w:tcW w:type="dxa" w:w="1872"/>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Public-facing web, mail, DNS</w:t>
            </w:r>
          </w:p>
        </w:tc>
      </w:tr>
      <w:tr>
        <w:tc>
          <w:tcPr>
            <w:tcW w:type="dxa" w:w="1872"/>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Teller Workstation LAN</w:t>
            </w:r>
          </w:p>
        </w:tc>
        <w:tc>
          <w:tcPr>
            <w:tcW w:type="dxa" w:w="1224"/>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Network Segment, Workstation</w:t>
            </w:r>
          </w:p>
        </w:tc>
        <w:tc>
          <w:tcPr>
            <w:tcW w:type="dxa" w:w="1512"/>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10.30.0.0/23 / 255.255.254.0</w:t>
            </w:r>
          </w:p>
        </w:tc>
        <w:tc>
          <w:tcPr>
            <w:tcW w:type="dxa" w:w="144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r>
          </w:p>
        </w:tc>
        <w:tc>
          <w:tcPr>
            <w:tcW w:type="dxa" w:w="648"/>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30</w:t>
            </w:r>
          </w:p>
        </w:tc>
        <w:tc>
          <w:tcPr>
            <w:tcW w:type="dxa" w:w="1296"/>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r>
          </w:p>
        </w:tc>
        <w:tc>
          <w:tcPr>
            <w:tcW w:type="dxa" w:w="1368"/>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r>
          </w:p>
        </w:tc>
        <w:tc>
          <w:tcPr>
            <w:tcW w:type="dxa" w:w="936"/>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network discoverable</w:t>
            </w:r>
          </w:p>
        </w:tc>
        <w:tc>
          <w:tcPr>
            <w:tcW w:type="dxa" w:w="1872"/>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Branch teller endpoints, 2 branches</w:t>
            </w:r>
          </w:p>
        </w:tc>
      </w:tr>
      <w:tr>
        <w:tc>
          <w:tcPr>
            <w:tcW w:type="dxa" w:w="1872"/>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ATM Network Segment</w:t>
            </w:r>
          </w:p>
        </w:tc>
        <w:tc>
          <w:tcPr>
            <w:tcW w:type="dxa" w:w="1224"/>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Network Segment, Appliance</w:t>
            </w:r>
          </w:p>
        </w:tc>
        <w:tc>
          <w:tcPr>
            <w:tcW w:type="dxa" w:w="1512"/>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10.40.0.0/24 / 255.255.255.0</w:t>
            </w:r>
          </w:p>
        </w:tc>
        <w:tc>
          <w:tcPr>
            <w:tcW w:type="dxa" w:w="144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r>
          </w:p>
        </w:tc>
        <w:tc>
          <w:tcPr>
            <w:tcW w:type="dxa" w:w="648"/>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40</w:t>
            </w:r>
          </w:p>
        </w:tc>
        <w:tc>
          <w:tcPr>
            <w:tcW w:type="dxa" w:w="1296"/>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r>
          </w:p>
        </w:tc>
        <w:tc>
          <w:tcPr>
            <w:tcW w:type="dxa" w:w="1368"/>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r>
          </w:p>
        </w:tc>
        <w:tc>
          <w:tcPr>
            <w:tcW w:type="dxa" w:w="936"/>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network discoverable</w:t>
            </w:r>
          </w:p>
        </w:tc>
        <w:tc>
          <w:tcPr>
            <w:tcW w:type="dxa" w:w="1872"/>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ATM fleet — 14 units, 3 locations</w:t>
            </w:r>
          </w:p>
        </w:tc>
      </w:tr>
      <w:tr>
        <w:tc>
          <w:tcPr>
            <w:tcW w:type="dxa" w:w="1872"/>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Management / OOB</w:t>
            </w:r>
          </w:p>
        </w:tc>
        <w:tc>
          <w:tcPr>
            <w:tcW w:type="dxa" w:w="1224"/>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Network Segment, Switch, Router</w:t>
            </w:r>
          </w:p>
        </w:tc>
        <w:tc>
          <w:tcPr>
            <w:tcW w:type="dxa" w:w="1512"/>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10.50.0.0/24 / 255.255.255.0</w:t>
            </w:r>
          </w:p>
        </w:tc>
        <w:tc>
          <w:tcPr>
            <w:tcW w:type="dxa" w:w="144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r>
          </w:p>
        </w:tc>
        <w:tc>
          <w:tcPr>
            <w:tcW w:type="dxa" w:w="648"/>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50</w:t>
            </w:r>
          </w:p>
        </w:tc>
        <w:tc>
          <w:tcPr>
            <w:tcW w:type="dxa" w:w="1296"/>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r>
          </w:p>
        </w:tc>
        <w:tc>
          <w:tcPr>
            <w:tcW w:type="dxa" w:w="1368"/>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r>
          </w:p>
        </w:tc>
        <w:tc>
          <w:tcPr>
            <w:tcW w:type="dxa" w:w="936"/>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network discoverable</w:t>
            </w:r>
          </w:p>
        </w:tc>
        <w:tc>
          <w:tcPr>
            <w:tcW w:type="dxa" w:w="1872"/>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Network mgmt, iDRAC, IPMI — test read access only</w:t>
            </w:r>
          </w:p>
        </w:tc>
      </w:tr>
      <w:tr>
        <w:tc>
          <w:tcPr>
            <w:tcW w:type="dxa" w:w="1872"/>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Development Environment</w:t>
            </w:r>
          </w:p>
        </w:tc>
        <w:tc>
          <w:tcPr>
            <w:tcW w:type="dxa" w:w="1224"/>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Network Segment, Application Server</w:t>
            </w:r>
          </w:p>
        </w:tc>
        <w:tc>
          <w:tcPr>
            <w:tcW w:type="dxa" w:w="1512"/>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10.60.0.0/23 / 255.255.254.0</w:t>
            </w:r>
          </w:p>
        </w:tc>
        <w:tc>
          <w:tcPr>
            <w:tcW w:type="dxa" w:w="144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r>
          </w:p>
        </w:tc>
        <w:tc>
          <w:tcPr>
            <w:tcW w:type="dxa" w:w="648"/>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60</w:t>
            </w:r>
          </w:p>
        </w:tc>
        <w:tc>
          <w:tcPr>
            <w:tcW w:type="dxa" w:w="1296"/>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r>
          </w:p>
        </w:tc>
        <w:tc>
          <w:tcPr>
            <w:tcW w:type="dxa" w:w="1368"/>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r>
          </w:p>
        </w:tc>
        <w:tc>
          <w:tcPr>
            <w:tcW w:type="dxa" w:w="936"/>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network discoverable</w:t>
            </w:r>
          </w:p>
        </w:tc>
        <w:tc>
          <w:tcPr>
            <w:tcW w:type="dxa" w:w="1872"/>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Non-production clone — full exploitation authorized</w:t>
            </w:r>
          </w:p>
        </w:tc>
      </w:tr>
      <w:tr>
        <w:tc>
          <w:tcPr>
            <w:tcW w:type="dxa" w:w="1872"/>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VoIP Infrastructure</w:t>
            </w:r>
          </w:p>
        </w:tc>
        <w:tc>
          <w:tcPr>
            <w:tcW w:type="dxa" w:w="1224"/>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Network Segment, Phone Voip</w:t>
            </w:r>
          </w:p>
        </w:tc>
        <w:tc>
          <w:tcPr>
            <w:tcW w:type="dxa" w:w="1512"/>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10.70.0.0/24 / 255.255.255.0</w:t>
            </w:r>
          </w:p>
        </w:tc>
        <w:tc>
          <w:tcPr>
            <w:tcW w:type="dxa" w:w="144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r>
          </w:p>
        </w:tc>
        <w:tc>
          <w:tcPr>
            <w:tcW w:type="dxa" w:w="648"/>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70</w:t>
            </w:r>
          </w:p>
        </w:tc>
        <w:tc>
          <w:tcPr>
            <w:tcW w:type="dxa" w:w="1296"/>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r>
          </w:p>
        </w:tc>
        <w:tc>
          <w:tcPr>
            <w:tcW w:type="dxa" w:w="1368"/>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r>
          </w:p>
        </w:tc>
        <w:tc>
          <w:tcPr>
            <w:tcW w:type="dxa" w:w="936"/>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network discoverable</w:t>
            </w:r>
          </w:p>
        </w:tc>
        <w:tc>
          <w:tcPr>
            <w:tcW w:type="dxa" w:w="1872"/>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IP telephony — enumeration only, no DoS</w:t>
            </w:r>
          </w:p>
        </w:tc>
      </w:tr>
      <w:tr>
        <w:tc>
          <w:tcPr>
            <w:tcW w:type="dxa" w:w="1872"/>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Wireless — Corporate</w:t>
            </w:r>
          </w:p>
        </w:tc>
        <w:tc>
          <w:tcPr>
            <w:tcW w:type="dxa" w:w="1224"/>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Network Segment, Wireless Ap</w:t>
            </w:r>
          </w:p>
        </w:tc>
        <w:tc>
          <w:tcPr>
            <w:tcW w:type="dxa" w:w="1512"/>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192.168.10.0/24 / 255.255.255.0</w:t>
            </w:r>
          </w:p>
        </w:tc>
        <w:tc>
          <w:tcPr>
            <w:tcW w:type="dxa" w:w="144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r>
          </w:p>
        </w:tc>
        <w:tc>
          <w:tcPr>
            <w:tcW w:type="dxa" w:w="648"/>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80</w:t>
            </w:r>
          </w:p>
        </w:tc>
        <w:tc>
          <w:tcPr>
            <w:tcW w:type="dxa" w:w="1296"/>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r>
          </w:p>
        </w:tc>
        <w:tc>
          <w:tcPr>
            <w:tcW w:type="dxa" w:w="1368"/>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r>
          </w:p>
        </w:tc>
        <w:tc>
          <w:tcPr>
            <w:tcW w:type="dxa" w:w="936"/>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network discoverable</w:t>
            </w:r>
          </w:p>
        </w:tc>
        <w:tc>
          <w:tcPr>
            <w:tcW w:type="dxa" w:w="1872"/>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802.1X corporate wireless — all attack types authorized</w:t>
            </w:r>
          </w:p>
        </w:tc>
      </w:tr>
      <w:tr>
        <w:tc>
          <w:tcPr>
            <w:tcW w:type="dxa" w:w="1872"/>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Wireless — Guest</w:t>
            </w:r>
          </w:p>
        </w:tc>
        <w:tc>
          <w:tcPr>
            <w:tcW w:type="dxa" w:w="1224"/>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Network Segment, Wireless Ap</w:t>
            </w:r>
          </w:p>
        </w:tc>
        <w:tc>
          <w:tcPr>
            <w:tcW w:type="dxa" w:w="1512"/>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192.168.20.0/24 / 255.255.255.0</w:t>
            </w:r>
          </w:p>
        </w:tc>
        <w:tc>
          <w:tcPr>
            <w:tcW w:type="dxa" w:w="144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r>
          </w:p>
        </w:tc>
        <w:tc>
          <w:tcPr>
            <w:tcW w:type="dxa" w:w="648"/>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90</w:t>
            </w:r>
          </w:p>
        </w:tc>
        <w:tc>
          <w:tcPr>
            <w:tcW w:type="dxa" w:w="1296"/>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r>
          </w:p>
        </w:tc>
        <w:tc>
          <w:tcPr>
            <w:tcW w:type="dxa" w:w="1368"/>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r>
          </w:p>
        </w:tc>
        <w:tc>
          <w:tcPr>
            <w:tcW w:type="dxa" w:w="936"/>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network discoverable</w:t>
            </w:r>
          </w:p>
        </w:tc>
        <w:tc>
          <w:tcPr>
            <w:tcW w:type="dxa" w:w="1872"/>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Guest portal — enumeration and escape testing only</w:t>
            </w:r>
          </w:p>
        </w:tc>
      </w:tr>
      <w:tr>
        <w:tc>
          <w:tcPr>
            <w:tcW w:type="dxa" w:w="1872"/>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External Web Application</w:t>
            </w:r>
          </w:p>
        </w:tc>
        <w:tc>
          <w:tcPr>
            <w:tcW w:type="dxa" w:w="1224"/>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Web Server, Application Server</w:t>
            </w:r>
          </w:p>
        </w:tc>
        <w:tc>
          <w:tcPr>
            <w:tcW w:type="dxa" w:w="1512"/>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0.0.0.0/32 / 255.255.255.255</w:t>
            </w:r>
          </w:p>
        </w:tc>
        <w:tc>
          <w:tcPr>
            <w:tcW w:type="dxa" w:w="144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38.142.1.22</w:t>
            </w:r>
          </w:p>
        </w:tc>
        <w:tc>
          <w:tcPr>
            <w:tcW w:type="dxa" w:w="648"/>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r>
          </w:p>
        </w:tc>
        <w:tc>
          <w:tcPr>
            <w:tcW w:type="dxa" w:w="1296"/>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r>
          </w:p>
        </w:tc>
        <w:tc>
          <w:tcPr>
            <w:tcW w:type="dxa" w:w="1368"/>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Ubuntu 22.04 LTS</w:t>
            </w:r>
          </w:p>
        </w:tc>
        <w:tc>
          <w:tcPr>
            <w:tcW w:type="dxa" w:w="936"/>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client provisioned</w:t>
            </w:r>
          </w:p>
        </w:tc>
        <w:tc>
          <w:tcPr>
            <w:tcW w:type="dxa" w:w="1872"/>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Online banking portal: onlinebanking.meridianbank.com</w:t>
            </w:r>
          </w:p>
        </w:tc>
      </w:tr>
      <w:tr>
        <w:tc>
          <w:tcPr>
            <w:tcW w:type="dxa" w:w="1872"/>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External API Gateway</w:t>
            </w:r>
          </w:p>
        </w:tc>
        <w:tc>
          <w:tcPr>
            <w:tcW w:type="dxa" w:w="1224"/>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Application Server, Load Balancer</w:t>
            </w:r>
          </w:p>
        </w:tc>
        <w:tc>
          <w:tcPr>
            <w:tcW w:type="dxa" w:w="1512"/>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0.0.0.0/32 / 255.255.255.255</w:t>
            </w:r>
          </w:p>
        </w:tc>
        <w:tc>
          <w:tcPr>
            <w:tcW w:type="dxa" w:w="144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38.142.1.23</w:t>
            </w:r>
          </w:p>
        </w:tc>
        <w:tc>
          <w:tcPr>
            <w:tcW w:type="dxa" w:w="648"/>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r>
          </w:p>
        </w:tc>
        <w:tc>
          <w:tcPr>
            <w:tcW w:type="dxa" w:w="1296"/>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r>
          </w:p>
        </w:tc>
        <w:tc>
          <w:tcPr>
            <w:tcW w:type="dxa" w:w="1368"/>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Ubuntu 22.04 LTS</w:t>
            </w:r>
          </w:p>
        </w:tc>
        <w:tc>
          <w:tcPr>
            <w:tcW w:type="dxa" w:w="936"/>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client provisioned</w:t>
            </w:r>
          </w:p>
        </w:tc>
        <w:tc>
          <w:tcPr>
            <w:tcW w:type="dxa" w:w="1872"/>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api.meridianbank.com — all documented endpoints</w:t>
            </w:r>
          </w:p>
        </w:tc>
      </w:tr>
      <w:tr>
        <w:tc>
          <w:tcPr>
            <w:tcW w:type="dxa" w:w="1872"/>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Core Banking App Server</w:t>
            </w:r>
          </w:p>
        </w:tc>
        <w:tc>
          <w:tcPr>
            <w:tcW w:type="dxa" w:w="1224"/>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Application Server, Database Server</w:t>
            </w:r>
          </w:p>
        </w:tc>
        <w:tc>
          <w:tcPr>
            <w:tcW w:type="dxa" w:w="1512"/>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0.0.0.0/32 / 255.255.255.255</w:t>
            </w:r>
          </w:p>
        </w:tc>
        <w:tc>
          <w:tcPr>
            <w:tcW w:type="dxa" w:w="144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10.10.10.50</w:t>
            </w:r>
          </w:p>
        </w:tc>
        <w:tc>
          <w:tcPr>
            <w:tcW w:type="dxa" w:w="648"/>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r>
          </w:p>
        </w:tc>
        <w:tc>
          <w:tcPr>
            <w:tcW w:type="dxa" w:w="1296"/>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AA:BB:CC:DD:EE:01</w:t>
            </w:r>
          </w:p>
        </w:tc>
        <w:tc>
          <w:tcPr>
            <w:tcW w:type="dxa" w:w="1368"/>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Windows Server 2022</w:t>
            </w:r>
          </w:p>
        </w:tc>
        <w:tc>
          <w:tcPr>
            <w:tcW w:type="dxa" w:w="936"/>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client provisioned</w:t>
            </w:r>
          </w:p>
        </w:tc>
        <w:tc>
          <w:tcPr>
            <w:tcW w:type="dxa" w:w="1872"/>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FiServ Precision host — hostname: cbs01.meridianbank.internal</w:t>
            </w:r>
          </w:p>
        </w:tc>
      </w:tr>
    </w:tbl>
    <w:p/>
    <w:p>
      <w:pPr>
        <w:spacing w:after="80"/>
      </w:pPr>
      <w:r>
        <w:rPr>
          <w:rFonts w:ascii="Arial" w:hAnsi="Arial"/>
          <w:b/>
          <w:i w:val="0"/>
          <w:sz w:val="20"/>
        </w:rPr>
        <w:t>UNDISCLOSED DEVICE DISCLAIMER: The testing firm is not responsible for connectivity, discovery, or functionality of any devices not disclosed prior to test initiation. Best-effort discovery will be performed; however, undocumented devices that are left in a disconnected or dysfunctional state as a result of testing are the sole responsibility of the client to document and repair upon presentation of the testing audit trail.</w:t>
      </w:r>
    </w:p>
    <w:p>
      <w:pPr>
        <w:spacing w:after="80"/>
      </w:pPr>
      <w:r>
        <w:rPr>
          <w:rFonts w:ascii="Arial" w:hAnsi="Arial"/>
          <w:b/>
          <w:i w:val="0"/>
          <w:sz w:val="20"/>
        </w:rPr>
        <w:t>NOTE: 12 asset(s) are client-provisioned and pending confirmed IP address/hostname delivery. Testing of these specific assets is BLOCKED until written delivery confirmation is received from the client.</w:t>
      </w:r>
    </w:p>
    <w:p>
      <w:pPr>
        <w:spacing w:before="240" w:after="80"/>
        <w:jc w:val="left"/>
        <w:pBdr>
          <w:bottom w:val="single" w:sz="4" w:space="1" w:color="2E75B6"/>
        </w:pBdr>
      </w:pPr>
      <w:r>
        <w:rPr>
          <w:rFonts w:ascii="Arial" w:hAnsi="Arial"/>
          <w:b/>
          <w:color w:val="1A1A2E"/>
          <w:sz w:val="22"/>
        </w:rPr>
        <w:t>3.2 Explicitly Out-of-Scope Assets</w:t>
      </w:r>
    </w:p>
    <w:p>
      <w:pPr>
        <w:spacing w:after="80"/>
      </w:pPr>
      <w:r>
        <w:rPr>
          <w:rFonts w:ascii="Arial" w:hAnsi="Arial"/>
          <w:b w:val="0"/>
          <w:i w:val="0"/>
          <w:sz w:val="20"/>
        </w:rPr>
        <w:t>The following assets are explicitly EXCLUDED from testing scope. No testing activity — including passive scanning, enumeration, or traffic generation — may target these assets. For third-party operated assets, emergency contact information is provided for immediate use in the event of accidental contact.</w:t>
      </w:r>
    </w:p>
    <w:tbl>
      <w:tblPr>
        <w:tblStyle w:val="TableGrid"/>
        <w:tblW w:type="auto" w:w="0"/>
        <w:jc w:val="left"/>
        <w:tblLook w:firstColumn="1" w:firstRow="1" w:lastColumn="0" w:lastRow="0" w:noHBand="0" w:noVBand="1" w:val="04A0"/>
      </w:tblPr>
      <w:tblGrid>
        <w:gridCol w:w="1560"/>
        <w:gridCol w:w="1560"/>
        <w:gridCol w:w="1560"/>
        <w:gridCol w:w="1560"/>
        <w:gridCol w:w="1560"/>
        <w:gridCol w:w="1560"/>
      </w:tblGrid>
      <w:tr>
        <w:trPr>
          <w:trHeight w:val="397"/>
        </w:trPr>
        <w:tc>
          <w:tcPr>
            <w:tcW w:type="dxa" w:w="2016"/>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Asset</w:t>
            </w:r>
          </w:p>
        </w:tc>
        <w:tc>
          <w:tcPr>
            <w:tcW w:type="dxa" w:w="1728"/>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IP / CIDR</w:t>
            </w:r>
          </w:p>
        </w:tc>
        <w:tc>
          <w:tcPr>
            <w:tcW w:type="dxa" w:w="864"/>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VLAN</w:t>
            </w:r>
          </w:p>
        </w:tc>
        <w:tc>
          <w:tcPr>
            <w:tcW w:type="dxa" w:w="1440"/>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MAC</w:t>
            </w:r>
          </w:p>
        </w:tc>
        <w:tc>
          <w:tcPr>
            <w:tcW w:type="dxa" w:w="2736"/>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Exclusion Reason</w:t>
            </w:r>
          </w:p>
        </w:tc>
        <w:tc>
          <w:tcPr>
            <w:tcW w:type="dxa" w:w="2016"/>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3rd Party Contact</w:t>
            </w:r>
          </w:p>
        </w:tc>
      </w:tr>
      <w:tr>
        <w:tc>
          <w:tcPr>
            <w:tcW w:type="dxa" w:w="2016"/>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Federal Reserve Connection</w:t>
            </w:r>
          </w:p>
        </w:tc>
        <w:tc>
          <w:tcPr>
            <w:tcW w:type="dxa" w:w="1728"/>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10.1.0.0/30</w:t>
            </w:r>
          </w:p>
        </w:tc>
        <w:tc>
          <w:tcPr>
            <w:tcW w:type="dxa" w:w="864"/>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100</w:t>
            </w:r>
          </w:p>
        </w:tc>
        <w:tc>
          <w:tcPr>
            <w:tcW w:type="dxa" w:w="144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r>
          </w:p>
        </w:tc>
        <w:tc>
          <w:tcPr>
            <w:tcW w:type="dxa" w:w="2736"/>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Federally regulated infrastructure — exclusion mandatory</w:t>
            </w:r>
          </w:p>
        </w:tc>
        <w:tc>
          <w:tcPr>
            <w:tcW w:type="dxa" w:w="2016"/>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Federal Reserve Bank</w:t>
              <w:br/>
              <w:t>Federal Reserve Bank of Cleveland — Network Operations +1-216-579-2000</w:t>
            </w:r>
          </w:p>
        </w:tc>
      </w:tr>
      <w:tr>
        <w:tc>
          <w:tcPr>
            <w:tcW w:type="dxa" w:w="2016"/>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SWIFT Messaging Network</w:t>
            </w:r>
          </w:p>
        </w:tc>
        <w:tc>
          <w:tcPr>
            <w:tcW w:type="dxa" w:w="1728"/>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172.17.0.0/24</w:t>
            </w:r>
          </w:p>
        </w:tc>
        <w:tc>
          <w:tcPr>
            <w:tcW w:type="dxa" w:w="864"/>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r>
          </w:p>
        </w:tc>
        <w:tc>
          <w:tcPr>
            <w:tcW w:type="dxa" w:w="144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r>
          </w:p>
        </w:tc>
        <w:tc>
          <w:tcPr>
            <w:tcW w:type="dxa" w:w="2736"/>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Third-party regulated network — separate authorization required</w:t>
            </w:r>
          </w:p>
        </w:tc>
        <w:tc>
          <w:tcPr>
            <w:tcW w:type="dxa" w:w="2016"/>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SWIFT</w:t>
              <w:br/>
              <w:t>SWIFT Customer Support +1-800-SWIFT-00</w:t>
            </w:r>
          </w:p>
        </w:tc>
      </w:tr>
      <w:tr>
        <w:tc>
          <w:tcPr>
            <w:tcW w:type="dxa" w:w="2016"/>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Card Processing (FIS)</w:t>
            </w:r>
          </w:p>
        </w:tc>
        <w:tc>
          <w:tcPr>
            <w:tcW w:type="dxa" w:w="1728"/>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172.18.0.0/23</w:t>
            </w:r>
          </w:p>
        </w:tc>
        <w:tc>
          <w:tcPr>
            <w:tcW w:type="dxa" w:w="864"/>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r>
          </w:p>
        </w:tc>
        <w:tc>
          <w:tcPr>
            <w:tcW w:type="dxa" w:w="144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r>
          </w:p>
        </w:tc>
        <w:tc>
          <w:tcPr>
            <w:tcW w:type="dxa" w:w="2736"/>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Third-party PCI-DSS CDE — separate PCI ASV scope</w:t>
            </w:r>
          </w:p>
        </w:tc>
        <w:tc>
          <w:tcPr>
            <w:tcW w:type="dxa" w:w="2016"/>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FIS</w:t>
              <w:br/>
              <w:t>FIS NOC — 24/7 Operations +1-800-347-4000</w:t>
            </w:r>
          </w:p>
        </w:tc>
      </w:tr>
      <w:tr>
        <w:tc>
          <w:tcPr>
            <w:tcW w:type="dxa" w:w="2016"/>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Backup / DR Site</w:t>
            </w:r>
          </w:p>
        </w:tc>
        <w:tc>
          <w:tcPr>
            <w:tcW w:type="dxa" w:w="1728"/>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10.90.0.0/22</w:t>
            </w:r>
          </w:p>
        </w:tc>
        <w:tc>
          <w:tcPr>
            <w:tcW w:type="dxa" w:w="864"/>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110</w:t>
            </w:r>
          </w:p>
        </w:tc>
        <w:tc>
          <w:tcPr>
            <w:tcW w:type="dxa" w:w="144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r>
          </w:p>
        </w:tc>
        <w:tc>
          <w:tcPr>
            <w:tcW w:type="dxa" w:w="2736"/>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Excluded this engagement — separate DR test scheduled Q3</w:t>
            </w:r>
          </w:p>
        </w:tc>
        <w:tc>
          <w:tcPr>
            <w:tcW w:type="dxa" w:w="2016"/>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r>
          </w:p>
        </w:tc>
      </w:tr>
    </w:tbl>
    <w:p/>
    <w:p>
      <w:pPr>
        <w:spacing w:after="80"/>
      </w:pPr>
      <w:r>
        <w:rPr>
          <w:rFonts w:ascii="Arial" w:hAnsi="Arial"/>
          <w:b/>
          <w:i w:val="0"/>
          <w:sz w:val="20"/>
        </w:rPr>
        <w:t>NOTE: 2 asset(s) are excluded due to regulatory mandate (e.g. Federal Reserve, SWIFT, PCI QSA scope boundary). Testing these assets may constitute a regulatory violation independent of this Agreement.</w:t>
      </w:r>
    </w:p>
    <w:p>
      <w:pPr>
        <w:spacing w:before="240" w:after="80"/>
        <w:jc w:val="left"/>
        <w:pBdr>
          <w:bottom w:val="single" w:sz="4" w:space="1" w:color="2E75B6"/>
        </w:pBdr>
      </w:pPr>
      <w:r>
        <w:rPr>
          <w:rFonts w:ascii="Arial" w:hAnsi="Arial"/>
          <w:b/>
          <w:color w:val="1A1A2E"/>
          <w:sz w:val="22"/>
        </w:rPr>
        <w:t>3.3 Physical Locations In Scope</w:t>
      </w:r>
    </w:p>
    <w:p>
      <w:pPr>
        <w:spacing w:after="80"/>
      </w:pPr>
      <w:r>
        <w:rPr>
          <w:rFonts w:ascii="Arial" w:hAnsi="Arial"/>
          <w:b w:val="0"/>
          <w:i w:val="0"/>
          <w:sz w:val="20"/>
        </w:rPr>
        <w:t>Physical testing is authorized at the following locations. Authorized activities are listed per location — all other physical testing activities are NOT authorized at that location. Pre-notification requirements are mandatory.</w:t>
      </w:r>
    </w:p>
    <w:p>
      <w:pPr>
        <w:spacing w:before="240" w:after="80"/>
        <w:jc w:val="left"/>
        <w:pBdr>
          <w:bottom w:val="single" w:sz="4" w:space="1" w:color="2E75B6"/>
        </w:pBdr>
      </w:pPr>
      <w:r>
        <w:rPr>
          <w:rFonts w:ascii="Arial" w:hAnsi="Arial"/>
          <w:b/>
          <w:color w:val="1A1A2E"/>
          <w:sz w:val="22"/>
        </w:rPr>
        <w:t>• Headquarters / Main Branch (Office)</w:t>
      </w:r>
    </w:p>
    <w:p>
      <w:pPr>
        <w:spacing w:after="80"/>
      </w:pPr>
      <w:r>
        <w:rPr>
          <w:rFonts w:ascii="Arial" w:hAnsi="Arial"/>
          <w:b w:val="0"/>
          <w:i w:val="0"/>
          <w:sz w:val="20"/>
        </w:rPr>
        <w:t>Address: 1420 Commerce Blvd, Columbus OH 43215</w:t>
      </w:r>
    </w:p>
    <w:p>
      <w:pPr>
        <w:spacing w:after="80"/>
      </w:pPr>
      <w:r>
        <w:rPr>
          <w:rFonts w:ascii="Arial" w:hAnsi="Arial"/>
          <w:b/>
          <w:i w:val="0"/>
          <w:sz w:val="20"/>
        </w:rPr>
        <w:t>Authorized Activities:</w:t>
      </w:r>
    </w:p>
    <w:p>
      <w:pPr>
        <w:pStyle w:val="ListBullet"/>
        <w:spacing w:after="40"/>
      </w:pPr>
      <w:r>
        <w:rPr>
          <w:rFonts w:ascii="Arial" w:hAnsi="Arial"/>
          <w:sz w:val="20"/>
        </w:rPr>
        <w:t>Tailgating</w:t>
      </w:r>
    </w:p>
    <w:p>
      <w:pPr>
        <w:pStyle w:val="ListBullet"/>
        <w:spacing w:after="40"/>
      </w:pPr>
      <w:r>
        <w:rPr>
          <w:rFonts w:ascii="Arial" w:hAnsi="Arial"/>
          <w:sz w:val="20"/>
        </w:rPr>
        <w:t>Badge Cloning Attempts</w:t>
      </w:r>
    </w:p>
    <w:p>
      <w:pPr>
        <w:pStyle w:val="ListBullet"/>
        <w:spacing w:after="40"/>
      </w:pPr>
      <w:r>
        <w:rPr>
          <w:rFonts w:ascii="Arial" w:hAnsi="Arial"/>
          <w:sz w:val="20"/>
        </w:rPr>
        <w:t>Dumpster Reconnaissance</w:t>
      </w:r>
    </w:p>
    <w:p>
      <w:pPr>
        <w:pStyle w:val="ListBullet"/>
        <w:spacing w:after="40"/>
      </w:pPr>
      <w:r>
        <w:rPr>
          <w:rFonts w:ascii="Arial" w:hAnsi="Arial"/>
          <w:sz w:val="20"/>
        </w:rPr>
        <w:t>Server Room Access Attempt</w:t>
      </w:r>
    </w:p>
    <w:p>
      <w:pPr>
        <w:pStyle w:val="ListBullet"/>
        <w:spacing w:after="40"/>
      </w:pPr>
      <w:r>
        <w:rPr>
          <w:rFonts w:ascii="Arial" w:hAnsi="Arial"/>
          <w:sz w:val="20"/>
        </w:rPr>
        <w:t>Social Engineering Of Staff</w:t>
      </w:r>
    </w:p>
    <w:p>
      <w:pPr>
        <w:spacing w:after="80"/>
      </w:pPr>
      <w:r>
        <w:rPr>
          <w:rFonts w:ascii="Arial" w:hAnsi="Arial"/>
          <w:b/>
          <w:i w:val="0"/>
          <w:sz w:val="20"/>
        </w:rPr>
        <w:t>Pre-Notification Required: 24 hours advance notice to Physical Security Manager before any testing at this location.</w:t>
      </w:r>
    </w:p>
    <w:p>
      <w:pPr>
        <w:spacing w:before="240" w:after="80"/>
        <w:jc w:val="left"/>
        <w:pBdr>
          <w:bottom w:val="single" w:sz="4" w:space="1" w:color="2E75B6"/>
        </w:pBdr>
      </w:pPr>
      <w:r>
        <w:rPr>
          <w:rFonts w:ascii="Arial" w:hAnsi="Arial"/>
          <w:b/>
          <w:color w:val="1A1A2E"/>
          <w:sz w:val="22"/>
        </w:rPr>
        <w:t>• East Branch (Branch)</w:t>
      </w:r>
    </w:p>
    <w:p>
      <w:pPr>
        <w:spacing w:after="80"/>
      </w:pPr>
      <w:r>
        <w:rPr>
          <w:rFonts w:ascii="Arial" w:hAnsi="Arial"/>
          <w:b w:val="0"/>
          <w:i w:val="0"/>
          <w:sz w:val="20"/>
        </w:rPr>
        <w:t>Address: 8801 Eastland Rd, Columbus OH 43213</w:t>
      </w:r>
    </w:p>
    <w:p>
      <w:pPr>
        <w:spacing w:after="80"/>
      </w:pPr>
      <w:r>
        <w:rPr>
          <w:rFonts w:ascii="Arial" w:hAnsi="Arial"/>
          <w:b/>
          <w:i w:val="0"/>
          <w:sz w:val="20"/>
        </w:rPr>
        <w:t>Authorized Activities:</w:t>
      </w:r>
    </w:p>
    <w:p>
      <w:pPr>
        <w:pStyle w:val="ListBullet"/>
        <w:spacing w:after="40"/>
      </w:pPr>
      <w:r>
        <w:rPr>
          <w:rFonts w:ascii="Arial" w:hAnsi="Arial"/>
          <w:sz w:val="20"/>
        </w:rPr>
        <w:t>Tailgating</w:t>
      </w:r>
    </w:p>
    <w:p>
      <w:pPr>
        <w:pStyle w:val="ListBullet"/>
        <w:spacing w:after="40"/>
      </w:pPr>
      <w:r>
        <w:rPr>
          <w:rFonts w:ascii="Arial" w:hAnsi="Arial"/>
          <w:sz w:val="20"/>
        </w:rPr>
        <w:t>Badge Access Testing</w:t>
      </w:r>
    </w:p>
    <w:p>
      <w:pPr>
        <w:pStyle w:val="ListBullet"/>
        <w:spacing w:after="40"/>
      </w:pPr>
      <w:r>
        <w:rPr>
          <w:rFonts w:ascii="Arial" w:hAnsi="Arial"/>
          <w:sz w:val="20"/>
        </w:rPr>
        <w:t>Social Engineering Of Teller Staff</w:t>
      </w:r>
    </w:p>
    <w:p>
      <w:pPr>
        <w:spacing w:after="80"/>
      </w:pPr>
      <w:r>
        <w:rPr>
          <w:rFonts w:ascii="Arial" w:hAnsi="Arial"/>
          <w:b/>
          <w:i w:val="0"/>
          <w:sz w:val="20"/>
        </w:rPr>
        <w:t>Pre-Notification Required: 24 hours advance notice to Physical Security Manager before any testing at this location.</w:t>
      </w:r>
    </w:p>
    <w:p>
      <w:pPr>
        <w:spacing w:before="240" w:after="80"/>
        <w:jc w:val="left"/>
        <w:pBdr>
          <w:bottom w:val="single" w:sz="4" w:space="1" w:color="2E75B6"/>
        </w:pBdr>
      </w:pPr>
      <w:r>
        <w:rPr>
          <w:rFonts w:ascii="Arial" w:hAnsi="Arial"/>
          <w:b/>
          <w:color w:val="1A1A2E"/>
          <w:sz w:val="22"/>
        </w:rPr>
        <w:t>• Data Center (Colocation) (Colocation)</w:t>
      </w:r>
    </w:p>
    <w:p>
      <w:pPr>
        <w:spacing w:after="80"/>
      </w:pPr>
      <w:r>
        <w:rPr>
          <w:rFonts w:ascii="Arial" w:hAnsi="Arial"/>
          <w:b w:val="0"/>
          <w:i w:val="0"/>
          <w:sz w:val="20"/>
        </w:rPr>
        <w:t>Address: CyrusOne COL2, 1 Miranova Pl, Columbus OH 43215</w:t>
      </w:r>
    </w:p>
    <w:p>
      <w:pPr>
        <w:spacing w:after="80"/>
      </w:pPr>
      <w:r>
        <w:rPr>
          <w:rFonts w:ascii="Arial" w:hAnsi="Arial"/>
          <w:b/>
          <w:i w:val="0"/>
          <w:sz w:val="20"/>
        </w:rPr>
        <w:t>Authorized Activities:</w:t>
      </w:r>
    </w:p>
    <w:p>
      <w:pPr>
        <w:pStyle w:val="ListBullet"/>
        <w:spacing w:after="40"/>
      </w:pPr>
      <w:r>
        <w:rPr>
          <w:rFonts w:ascii="Arial" w:hAnsi="Arial"/>
          <w:sz w:val="20"/>
        </w:rPr>
        <w:t>Badge Access Attempt</w:t>
      </w:r>
    </w:p>
    <w:p>
      <w:pPr>
        <w:pStyle w:val="ListBullet"/>
        <w:spacing w:after="40"/>
      </w:pPr>
      <w:r>
        <w:rPr>
          <w:rFonts w:ascii="Arial" w:hAnsi="Arial"/>
          <w:sz w:val="20"/>
        </w:rPr>
        <w:t>Tailgating Into Cage Area (Escort Required)</w:t>
      </w:r>
    </w:p>
    <w:p>
      <w:pPr>
        <w:spacing w:after="80"/>
      </w:pPr>
      <w:r>
        <w:rPr>
          <w:rFonts w:ascii="Arial" w:hAnsi="Arial"/>
          <w:b/>
          <w:i w:val="0"/>
          <w:sz w:val="20"/>
        </w:rPr>
        <w:t>Pre-Notification Required: 24 hours advance notice to Physical Security Manager before any testing at this location.</w:t>
      </w:r>
    </w:p>
    <w:p>
      <w:pPr>
        <w:spacing w:after="80"/>
      </w:pPr>
      <w:r>
        <w:rPr>
          <w:rFonts w:ascii="Arial" w:hAnsi="Arial"/>
          <w:b/>
          <w:i w:val="0"/>
          <w:sz w:val="20"/>
        </w:rPr>
        <w:t>Third-Party Facility: This location is operated by a third party. Facility security contact: CyrusOne facility security (contact via Robert C. Fenn).</w:t>
      </w:r>
    </w:p>
    <w:p>
      <w:pPr>
        <w:spacing w:before="240" w:after="80"/>
        <w:jc w:val="left"/>
        <w:pBdr>
          <w:bottom w:val="single" w:sz="4" w:space="1" w:color="2E75B6"/>
        </w:pBdr>
      </w:pPr>
      <w:r>
        <w:rPr>
          <w:rFonts w:ascii="Arial" w:hAnsi="Arial"/>
          <w:b/>
          <w:color w:val="1A1A2E"/>
          <w:sz w:val="22"/>
        </w:rPr>
        <w:t>3.4 Social Engineering Scope</w:t>
      </w:r>
    </w:p>
    <w:p>
      <w:pPr>
        <w:spacing w:after="80"/>
      </w:pPr>
      <w:r>
        <w:rPr>
          <w:rFonts w:ascii="Arial" w:hAnsi="Arial"/>
          <w:b w:val="0"/>
          <w:i w:val="0"/>
          <w:sz w:val="20"/>
        </w:rPr>
        <w:t>Default target scope: ALL employees unless explicitly listed in the exclusion table below. Phishing, vishing, smishing, impersonation, and USB drop activities are governed by the authorization matrix and exclusion list below.</w:t>
      </w:r>
    </w:p>
    <w:tbl>
      <w:tblPr>
        <w:tblStyle w:val="TableGrid"/>
        <w:tblW w:type="auto" w:w="0"/>
        <w:jc w:val="left"/>
        <w:tblLook w:firstColumn="1" w:firstRow="1" w:lastColumn="0" w:lastRow="0" w:noHBand="0" w:noVBand="1" w:val="04A0"/>
      </w:tblPr>
      <w:tblGrid>
        <w:gridCol w:w="3120"/>
        <w:gridCol w:w="3120"/>
        <w:gridCol w:w="3120"/>
      </w:tblGrid>
      <w:tr>
        <w:trPr>
          <w:trHeight w:val="397"/>
        </w:trPr>
        <w:tc>
          <w:tcPr>
            <w:tcW w:type="dxa" w:w="2304"/>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Vector</w:t>
            </w:r>
          </w:p>
        </w:tc>
        <w:tc>
          <w:tcPr>
            <w:tcW w:type="dxa" w:w="1728"/>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Status</w:t>
            </w:r>
          </w:p>
        </w:tc>
        <w:tc>
          <w:tcPr>
            <w:tcW w:type="dxa" w:w="6768"/>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Conditions / Notes</w:t>
            </w:r>
          </w:p>
        </w:tc>
      </w:tr>
      <w:tr>
        <w:tc>
          <w:tcPr>
            <w:tcW w:type="dxa" w:w="2304"/>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Phishing — Email</w:t>
            </w:r>
          </w:p>
        </w:tc>
        <w:tc>
          <w:tcPr>
            <w:tcW w:type="dxa" w:w="1728"/>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AUTHORIZED</w:t>
            </w:r>
          </w:p>
        </w:tc>
        <w:tc>
          <w:tcPr>
            <w:tcW w:type="dxa" w:w="6768"/>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Departments: Teller Operations, Loan Processing, IT Helpdesk, Branch Management</w:t>
              <w:br/>
              <w:t>Target list delivery due: April 04, 2026</w:t>
            </w:r>
          </w:p>
        </w:tc>
      </w:tr>
      <w:tr>
        <w:tc>
          <w:tcPr>
            <w:tcW w:type="dxa" w:w="2304"/>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Vishing — Phone</w:t>
            </w:r>
          </w:p>
        </w:tc>
        <w:tc>
          <w:tcPr>
            <w:tcW w:type="dxa" w:w="1728"/>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AUTHORIZED</w:t>
            </w:r>
          </w:p>
        </w:tc>
        <w:tc>
          <w:tcPr>
            <w:tcW w:type="dxa" w:w="6768"/>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Inbound call center and helpdesk staff only. No calls to executive staff.</w:t>
            </w:r>
          </w:p>
        </w:tc>
      </w:tr>
      <w:tr>
        <w:tc>
          <w:tcPr>
            <w:tcW w:type="dxa" w:w="2304"/>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Smishing — SMS</w:t>
            </w:r>
          </w:p>
        </w:tc>
        <w:tc>
          <w:tcPr>
            <w:tcW w:type="dxa" w:w="1728"/>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NOT AUTHORIZED</w:t>
            </w:r>
          </w:p>
        </w:tc>
        <w:tc>
          <w:tcPr>
            <w:tcW w:type="dxa" w:w="6768"/>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All employees</w:t>
            </w:r>
          </w:p>
        </w:tc>
      </w:tr>
      <w:tr>
        <w:tc>
          <w:tcPr>
            <w:tcW w:type="dxa" w:w="2304"/>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Impersonation</w:t>
            </w:r>
          </w:p>
        </w:tc>
        <w:tc>
          <w:tcPr>
            <w:tcW w:type="dxa" w:w="1728"/>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AUTHORIZED</w:t>
            </w:r>
          </w:p>
        </w:tc>
        <w:tc>
          <w:tcPr>
            <w:tcW w:type="dxa" w:w="6768"/>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Approved pretexts: IT vendor; HVAC technician; Fire marshal inspector</w:t>
            </w:r>
          </w:p>
        </w:tc>
      </w:tr>
      <w:tr>
        <w:tc>
          <w:tcPr>
            <w:tcW w:type="dxa" w:w="2304"/>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USB Drop / Baiting</w:t>
            </w:r>
          </w:p>
        </w:tc>
        <w:tc>
          <w:tcPr>
            <w:tcW w:type="dxa" w:w="1728"/>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AUTHORIZED</w:t>
            </w:r>
          </w:p>
        </w:tc>
        <w:tc>
          <w:tcPr>
            <w:tcW w:type="dxa" w:w="6768"/>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Payload type: inert_tracking  Recovery window: 48h</w:t>
            </w:r>
          </w:p>
        </w:tc>
      </w:tr>
    </w:tbl>
    <w:p/>
    <w:p>
      <w:pPr>
        <w:spacing w:after="80"/>
      </w:pPr>
      <w:r>
        <w:rPr>
          <w:rFonts w:ascii="Arial" w:hAnsi="Arial"/>
          <w:b/>
          <w:i w:val="0"/>
          <w:sz w:val="20"/>
        </w:rPr>
        <w:t>Explicitly Excluded from SE Targeting:</w:t>
      </w:r>
    </w:p>
    <w:tbl>
      <w:tblPr>
        <w:tblStyle w:val="TableGrid"/>
        <w:tblW w:type="auto" w:w="0"/>
        <w:jc w:val="left"/>
        <w:tblLook w:firstColumn="1" w:firstRow="1" w:lastColumn="0" w:lastRow="0" w:noHBand="0" w:noVBand="1" w:val="04A0"/>
      </w:tblPr>
      <w:tblGrid>
        <w:gridCol w:w="4680"/>
        <w:gridCol w:w="4680"/>
      </w:tblGrid>
      <w:tr>
        <w:trPr>
          <w:trHeight w:val="397"/>
        </w:trPr>
        <w:tc>
          <w:tcPr>
            <w:tcW w:type="dxa" w:w="576"/>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w:t>
            </w:r>
          </w:p>
        </w:tc>
        <w:tc>
          <w:tcPr>
            <w:tcW w:type="dxa" w:w="10224"/>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Excluded Individual / Role / Department</w:t>
            </w:r>
          </w:p>
        </w:tc>
      </w:tr>
      <w:tr>
        <w:tc>
          <w:tcPr>
            <w:tcW w:type="dxa" w:w="576"/>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1</w:t>
            </w:r>
          </w:p>
        </w:tc>
        <w:tc>
          <w:tcPr>
            <w:tcW w:type="dxa" w:w="10224"/>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HR staff</w:t>
            </w:r>
          </w:p>
        </w:tc>
      </w:tr>
      <w:tr>
        <w:tc>
          <w:tcPr>
            <w:tcW w:type="dxa" w:w="576"/>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2</w:t>
            </w:r>
          </w:p>
        </w:tc>
        <w:tc>
          <w:tcPr>
            <w:tcW w:type="dxa" w:w="10224"/>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C-suite executives</w:t>
            </w:r>
          </w:p>
        </w:tc>
      </w:tr>
    </w:tbl>
    <w:p/>
    <w:p>
      <w:pPr>
        <w:spacing w:before="240" w:after="80"/>
        <w:jc w:val="left"/>
        <w:pBdr>
          <w:bottom w:val="single" w:sz="4" w:space="1" w:color="2E75B6"/>
        </w:pBdr>
      </w:pPr>
      <w:r>
        <w:rPr>
          <w:rFonts w:ascii="Arial" w:hAnsi="Arial"/>
          <w:b/>
          <w:color w:val="1A1A2E"/>
          <w:sz w:val="22"/>
        </w:rPr>
        <w:t>3.5 PCI-DSS Cardholder Data Environment (CDE) Scope</w:t>
      </w:r>
    </w:p>
    <w:p>
      <w:pPr>
        <w:spacing w:after="80"/>
      </w:pPr>
      <w:r>
        <w:rPr>
          <w:rFonts w:ascii="Arial" w:hAnsi="Arial"/>
          <w:b w:val="0"/>
          <w:i w:val="0"/>
          <w:sz w:val="20"/>
        </w:rPr>
        <w:t>PCI-DSS is listed in the regulatory basis for this engagement. The parties have explicitly addressed the Cardholder Data Environment scope as follows:</w:t>
      </w:r>
    </w:p>
    <w:p>
      <w:pPr>
        <w:spacing w:after="80"/>
      </w:pPr>
      <w:r>
        <w:rPr>
          <w:rFonts w:ascii="Arial" w:hAnsi="Arial"/>
          <w:b/>
          <w:i w:val="0"/>
          <w:sz w:val="20"/>
        </w:rPr>
        <w:t>CDE Scope Decision: [CDE scope decision not defined — must be resolved before document execution]</w:t>
      </w:r>
    </w:p>
    <w:p>
      <w:pPr>
        <w:spacing w:after="80"/>
      </w:pPr>
      <w:r>
        <w:rPr>
          <w:rFonts w:ascii="Arial" w:hAnsi="Arial"/>
          <w:b w:val="0"/>
          <w:i/>
          <w:sz w:val="20"/>
        </w:rPr>
        <w:t>This determination does not constitute a PCI DSS assessment, Report on Compliance (ROC), or Self-Assessment Questionnaire (SAQ). Penetration testing results may be used as evidence in a PCI DSS assessment but do not independently establish PCI DSS compliance.</w:t>
      </w:r>
    </w:p>
    <w:p/>
    <w:p>
      <w:pPr>
        <w:spacing w:before="240" w:after="80"/>
        <w:jc w:val="left"/>
        <w:pBdr>
          <w:bottom w:val="single" w:sz="8" w:space="1" w:color="2E75B6"/>
        </w:pBdr>
      </w:pPr>
      <w:r>
        <w:rPr>
          <w:rFonts w:ascii="Arial" w:hAnsi="Arial"/>
          <w:b/>
          <w:color w:val="1A1A2E"/>
          <w:sz w:val="26"/>
        </w:rPr>
        <w:t>4. Deliverables</w:t>
      </w:r>
    </w:p>
    <w:tbl>
      <w:tblPr>
        <w:tblStyle w:val="TableGrid"/>
        <w:tblW w:type="auto" w:w="0"/>
        <w:jc w:val="left"/>
        <w:tblLook w:firstColumn="1" w:firstRow="1" w:lastColumn="0" w:lastRow="0" w:noHBand="0" w:noVBand="1" w:val="04A0"/>
      </w:tblPr>
      <w:tblGrid>
        <w:gridCol w:w="2340"/>
        <w:gridCol w:w="2340"/>
        <w:gridCol w:w="2340"/>
        <w:gridCol w:w="2340"/>
      </w:tblGrid>
      <w:tr>
        <w:trPr>
          <w:trHeight w:val="397"/>
        </w:trPr>
        <w:tc>
          <w:tcPr>
            <w:tcW w:type="dxa" w:w="2304"/>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Deliverable</w:t>
            </w:r>
          </w:p>
        </w:tc>
        <w:tc>
          <w:tcPr>
            <w:tcW w:type="dxa" w:w="4608"/>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Description</w:t>
            </w:r>
          </w:p>
        </w:tc>
        <w:tc>
          <w:tcPr>
            <w:tcW w:type="dxa" w:w="1728"/>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Due Date</w:t>
            </w:r>
          </w:p>
        </w:tc>
        <w:tc>
          <w:tcPr>
            <w:tcW w:type="dxa" w:w="2160"/>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Delivery Method</w:t>
            </w:r>
          </w:p>
        </w:tc>
      </w:tr>
      <w:tr>
        <w:tc>
          <w:tcPr>
            <w:tcW w:type="dxa" w:w="2304"/>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Kickoff Meeting</w:t>
            </w:r>
          </w:p>
        </w:tc>
        <w:tc>
          <w:tcPr>
            <w:tcW w:type="dxa" w:w="4608"/>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Pre-engagement call to confirm scope, contacts, and logistics</w:t>
            </w:r>
          </w:p>
        </w:tc>
        <w:tc>
          <w:tcPr>
            <w:tcW w:type="dxa" w:w="1728"/>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April 07, 2026</w:t>
            </w:r>
          </w:p>
        </w:tc>
        <w:tc>
          <w:tcPr>
            <w:tcW w:type="dxa" w:w="216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Video conference</w:t>
            </w:r>
          </w:p>
        </w:tc>
      </w:tr>
      <w:tr>
        <w:tc>
          <w:tcPr>
            <w:tcW w:type="dxa" w:w="2304"/>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Weekly Status Reports</w:t>
            </w:r>
          </w:p>
        </w:tc>
        <w:tc>
          <w:tcPr>
            <w:tcW w:type="dxa" w:w="4608"/>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Brief written summary of activities, findings, and blockers</w:t>
            </w:r>
          </w:p>
        </w:tc>
        <w:tc>
          <w:tcPr>
            <w:tcW w:type="dxa" w:w="1728"/>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Weekly during active testing</w:t>
            </w:r>
          </w:p>
        </w:tc>
        <w:tc>
          <w:tcPr>
            <w:tcW w:type="dxa" w:w="216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Encrypted email</w:t>
            </w:r>
          </w:p>
        </w:tc>
      </w:tr>
      <w:tr>
        <w:tc>
          <w:tcPr>
            <w:tcW w:type="dxa" w:w="2304"/>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Critical Finding Notification</w:t>
            </w:r>
          </w:p>
        </w:tc>
        <w:tc>
          <w:tcPr>
            <w:tcW w:type="dxa" w:w="4608"/>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Any Critical/High finding with active exploit potential — within 4 hours</w:t>
            </w:r>
          </w:p>
        </w:tc>
        <w:tc>
          <w:tcPr>
            <w:tcW w:type="dxa" w:w="1728"/>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Immediate upon discovery</w:t>
            </w:r>
          </w:p>
        </w:tc>
        <w:tc>
          <w:tcPr>
            <w:tcW w:type="dxa" w:w="216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Phone + encrypted email</w:t>
            </w:r>
          </w:p>
        </w:tc>
      </w:tr>
      <w:tr>
        <w:tc>
          <w:tcPr>
            <w:tcW w:type="dxa" w:w="2304"/>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Draft Final Report</w:t>
            </w:r>
          </w:p>
        </w:tc>
        <w:tc>
          <w:tcPr>
            <w:tcW w:type="dxa" w:w="4608"/>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Full findings report with executive summary, technical details, evidence, and remediation</w:t>
            </w:r>
          </w:p>
        </w:tc>
        <w:tc>
          <w:tcPr>
            <w:tcW w:type="dxa" w:w="1728"/>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May 02, 2026</w:t>
            </w:r>
          </w:p>
        </w:tc>
        <w:tc>
          <w:tcPr>
            <w:tcW w:type="dxa" w:w="216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Encrypted email / secure portal</w:t>
            </w:r>
          </w:p>
        </w:tc>
      </w:tr>
      <w:tr>
        <w:tc>
          <w:tcPr>
            <w:tcW w:type="dxa" w:w="2304"/>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Final Report</w:t>
            </w:r>
          </w:p>
        </w:tc>
        <w:tc>
          <w:tcPr>
            <w:tcW w:type="dxa" w:w="4608"/>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Finalized report incorporating client review corrections</w:t>
            </w:r>
          </w:p>
        </w:tc>
        <w:tc>
          <w:tcPr>
            <w:tcW w:type="dxa" w:w="1728"/>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May 09, 2026</w:t>
            </w:r>
          </w:p>
        </w:tc>
        <w:tc>
          <w:tcPr>
            <w:tcW w:type="dxa" w:w="216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Encrypted email / secure portal</w:t>
            </w:r>
          </w:p>
        </w:tc>
      </w:tr>
      <w:tr>
        <w:tc>
          <w:tcPr>
            <w:tcW w:type="dxa" w:w="2304"/>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Retest Report</w:t>
            </w:r>
          </w:p>
        </w:tc>
        <w:tc>
          <w:tcPr>
            <w:tcW w:type="dxa" w:w="4608"/>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Findings verification for remediated items only</w:t>
            </w:r>
          </w:p>
        </w:tc>
        <w:tc>
          <w:tcPr>
            <w:tcW w:type="dxa" w:w="1728"/>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May 16, 2026</w:t>
            </w:r>
          </w:p>
        </w:tc>
        <w:tc>
          <w:tcPr>
            <w:tcW w:type="dxa" w:w="216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Encrypted email / secure portal</w:t>
            </w:r>
          </w:p>
        </w:tc>
      </w:tr>
    </w:tbl>
    <w:p/>
    <w:p>
      <w:pPr>
        <w:spacing w:before="240" w:after="80"/>
        <w:jc w:val="left"/>
        <w:pBdr>
          <w:bottom w:val="single" w:sz="8" w:space="1" w:color="2E75B6"/>
        </w:pBdr>
      </w:pPr>
      <w:r>
        <w:rPr>
          <w:rFonts w:ascii="Arial" w:hAnsi="Arial"/>
          <w:b/>
          <w:color w:val="1A1A2E"/>
          <w:sz w:val="26"/>
        </w:rPr>
        <w:t>5. Data Governance</w:t>
      </w:r>
    </w:p>
    <w:p>
      <w:pPr>
        <w:spacing w:before="240" w:after="80"/>
        <w:jc w:val="left"/>
        <w:pBdr>
          <w:bottom w:val="single" w:sz="4" w:space="1" w:color="2E75B6"/>
        </w:pBdr>
      </w:pPr>
      <w:r>
        <w:rPr>
          <w:rFonts w:ascii="Arial" w:hAnsi="Arial"/>
          <w:b/>
          <w:color w:val="1A1A2E"/>
          <w:sz w:val="22"/>
        </w:rPr>
        <w:t>5.1 Data Captured During Testing</w:t>
      </w:r>
    </w:p>
    <w:p>
      <w:pPr>
        <w:spacing w:after="80"/>
      </w:pPr>
      <w:r>
        <w:rPr>
          <w:rFonts w:ascii="Arial" w:hAnsi="Arial"/>
          <w:b w:val="0"/>
          <w:i w:val="0"/>
          <w:sz w:val="20"/>
        </w:rPr>
        <w:t>The Testing Team acknowledges that testing activities may result in the incidental capture of sensitive data including customer personally identifiable information (PII), account numbers, authentication credentials, and confidential business data. The Testing Team agrees to the following data handling obligations:</w:t>
      </w:r>
    </w:p>
    <w:p>
      <w:pPr>
        <w:pStyle w:val="ListBullet"/>
        <w:spacing w:after="40"/>
      </w:pPr>
      <w:r>
        <w:rPr>
          <w:rFonts w:ascii="Arial" w:hAnsi="Arial"/>
          <w:sz w:val="20"/>
        </w:rPr>
        <w:t>All data captured during testing will be stored on Testing Team-controlled systems using AES-256 encryption at rest.</w:t>
      </w:r>
    </w:p>
    <w:p>
      <w:pPr>
        <w:pStyle w:val="ListBullet"/>
        <w:spacing w:after="40"/>
      </w:pPr>
      <w:r>
        <w:rPr>
          <w:rFonts w:ascii="Arial" w:hAnsi="Arial"/>
          <w:sz w:val="20"/>
        </w:rPr>
        <w:t>No Client data will be stored on personal devices, cloud storage services, or any system outside the Testing Team's direct control.</w:t>
      </w:r>
    </w:p>
    <w:p>
      <w:pPr>
        <w:pStyle w:val="ListBullet"/>
        <w:spacing w:after="40"/>
      </w:pPr>
      <w:r>
        <w:rPr>
          <w:rFonts w:ascii="Arial" w:hAnsi="Arial"/>
          <w:sz w:val="20"/>
        </w:rPr>
        <w:t>Credentials discovered during testing will be reported to the Client Technical Contact within 4 hour(s) of discovery.</w:t>
      </w:r>
    </w:p>
    <w:p>
      <w:pPr>
        <w:pStyle w:val="ListBullet"/>
        <w:spacing w:after="40"/>
      </w:pPr>
      <w:r>
        <w:rPr>
          <w:rFonts w:ascii="Arial" w:hAnsi="Arial"/>
          <w:sz w:val="20"/>
        </w:rPr>
        <w:t>Customer PII encountered incidentally will be documented by type and volume only — individual records will not be retained.</w:t>
      </w:r>
    </w:p>
    <w:p>
      <w:pPr>
        <w:pStyle w:val="ListBullet"/>
        <w:spacing w:after="40"/>
      </w:pPr>
      <w:r>
        <w:rPr>
          <w:rFonts w:ascii="Arial" w:hAnsi="Arial"/>
          <w:sz w:val="20"/>
        </w:rPr>
        <w:t>All captured data will be transferred to Client and securely deleted from all Testing Team systems within 30 days of final report delivery.</w:t>
      </w:r>
    </w:p>
    <w:p>
      <w:pPr>
        <w:pStyle w:val="ListBullet"/>
        <w:spacing w:after="40"/>
      </w:pPr>
      <w:r>
        <w:rPr>
          <w:rFonts w:ascii="Arial" w:hAnsi="Arial"/>
          <w:sz w:val="20"/>
        </w:rPr>
        <w:t>Customer PII encountered incidentally will be documented by type and volume only — individual records will not be retained. All data captured during testing will be stored on RSG-controlled systems using AES-256 encryption at rest.</w:t>
      </w:r>
    </w:p>
    <w:p>
      <w:pPr>
        <w:spacing w:before="240" w:after="80"/>
        <w:jc w:val="left"/>
        <w:pBdr>
          <w:bottom w:val="single" w:sz="8" w:space="1" w:color="2E75B6"/>
        </w:pBdr>
      </w:pPr>
      <w:r>
        <w:rPr>
          <w:rFonts w:ascii="Arial" w:hAnsi="Arial"/>
          <w:b/>
          <w:color w:val="1A1A2E"/>
          <w:sz w:val="26"/>
        </w:rPr>
        <w:t>6. Regulatory and Legal Considerations</w:t>
      </w:r>
    </w:p>
    <w:p>
      <w:pPr>
        <w:spacing w:after="80"/>
      </w:pPr>
      <w:r>
        <w:rPr>
          <w:rFonts w:ascii="Arial" w:hAnsi="Arial"/>
          <w:b w:val="0"/>
          <w:i w:val="0"/>
          <w:sz w:val="20"/>
        </w:rPr>
        <w:t>This engagement is conducted pursuant to applicable federal and state law. The following provisions define the legal framework under which testing is authorized, the protections afforded to Testing Team personnel, and the obligations of both parties.</w:t>
      </w:r>
    </w:p>
    <w:p>
      <w:pPr>
        <w:spacing w:after="80"/>
      </w:pPr>
      <w:r>
        <w:rPr>
          <w:rFonts w:ascii="Arial" w:hAnsi="Arial"/>
          <w:b/>
          <w:i w:val="0"/>
          <w:sz w:val="20"/>
        </w:rPr>
        <w:t>NOTICE: The following clauses include protective language specific to authorized penetration testing engagements. Both parties are advised to have this Agreement reviewed by qualified Attorney of Record before execution. These provisions are designed to protect both the Client and the Testing Team.</w:t>
      </w:r>
    </w:p>
    <w:p>
      <w:pPr>
        <w:spacing w:before="240" w:after="80"/>
        <w:jc w:val="left"/>
        <w:pBdr>
          <w:bottom w:val="single" w:sz="8" w:space="1" w:color="2E75B6"/>
        </w:pBdr>
      </w:pPr>
      <w:r>
        <w:rPr>
          <w:rFonts w:ascii="Arial" w:hAnsi="Arial"/>
          <w:b/>
          <w:color w:val="1A1A2E"/>
          <w:sz w:val="26"/>
        </w:rPr>
        <w:t>7. Authorization and Lawful Access</w:t>
      </w:r>
    </w:p>
    <w:p>
      <w:pPr>
        <w:spacing w:after="80"/>
      </w:pPr>
      <w:r>
        <w:rPr>
          <w:rFonts w:ascii="Arial" w:hAnsi="Arial"/>
          <w:b w:val="0"/>
          <w:i w:val="0"/>
          <w:sz w:val="20"/>
        </w:rPr>
        <w:t>This Agreement constitutes express written authorization by the Client for the Testing Team to access, probe, test, and attempt to exploit the systems, networks, facilities, and personnel defined in Section 3 of this Agreement, during the authorized testing windows defined in Section 1.3, from the authorized source addresses defined in Section 2.2.</w:t>
      </w:r>
    </w:p>
    <w:p>
      <w:pPr>
        <w:spacing w:after="80"/>
      </w:pPr>
      <w:r>
        <w:rPr>
          <w:rFonts w:ascii="Arial" w:hAnsi="Arial"/>
          <w:b w:val="0"/>
          <w:i w:val="0"/>
          <w:sz w:val="20"/>
        </w:rPr>
        <w:t>The parties expressly agree that this authorization satisfies the 'authorization' element of the Computer Fraud and Abuse Act (18 U.S.C. § 1030), the Electronic Communications Privacy Act (18 U.S.C. §§ 2510–2523), and all substantially equivalent state computer crime, unauthorized access, and cybersecurity statutes, including but not limited to the law of the state(s) in which testing activities are conducted.</w:t>
      </w:r>
    </w:p>
    <w:p>
      <w:pPr>
        <w:spacing w:after="80"/>
      </w:pPr>
      <w:r>
        <w:rPr>
          <w:rFonts w:ascii="Arial" w:hAnsi="Arial"/>
          <w:b w:val="0"/>
          <w:i w:val="0"/>
          <w:sz w:val="20"/>
        </w:rPr>
        <w:t>Testing Team personnel acting in good faith within the defined scope, time windows, and source address restrictions of this Agreement are performing authorized computer access within the meaning of applicable law. No such activity shall constitute unauthorized access, unauthorized use, unauthorized interception of communications, trespass, or any related civil or criminal offense.</w:t>
      </w:r>
    </w:p>
    <w:p>
      <w:pPr>
        <w:spacing w:after="80"/>
      </w:pPr>
      <w:r>
        <w:rPr>
          <w:rFonts w:ascii="Arial" w:hAnsi="Arial"/>
          <w:b w:val="0"/>
          <w:i w:val="0"/>
          <w:sz w:val="20"/>
        </w:rPr>
        <w:t>The Client represents and warrants that it has legal authority to grant the authorizations provided herein with respect to all assets, systems, facilities, and personnel listed in Section 3, including assets hosted, managed, or operated by third parties on the Client's behalf where such authority exists.</w:t>
      </w:r>
    </w:p>
    <w:p>
      <w:pPr>
        <w:spacing w:before="240" w:after="80"/>
        <w:jc w:val="left"/>
        <w:pBdr>
          <w:bottom w:val="single" w:sz="8" w:space="1" w:color="2E75B6"/>
        </w:pBdr>
      </w:pPr>
      <w:r>
        <w:rPr>
          <w:rFonts w:ascii="Arial" w:hAnsi="Arial"/>
          <w:b/>
          <w:color w:val="1A1A2E"/>
          <w:sz w:val="26"/>
        </w:rPr>
        <w:t>8. Law Enforcement Contact and Client Intervention Obligation</w:t>
      </w:r>
    </w:p>
    <w:p>
      <w:pPr>
        <w:spacing w:after="80"/>
      </w:pPr>
      <w:r>
        <w:rPr>
          <w:rFonts w:ascii="Arial" w:hAnsi="Arial"/>
          <w:b w:val="0"/>
          <w:i w:val="0"/>
          <w:sz w:val="20"/>
        </w:rPr>
        <w:t>The Client acknowledges that authorized penetration testing activities — including physical security testing, social engineering, network scanning, and system exploitation — may, if observed by uninformed parties, appear indistinguishable from malicious activity. The parties have taken the following precautions to prevent unnecessary law enforcement contact and to protect Testing Team personnel in the event such contact occurs:</w:t>
      </w:r>
    </w:p>
    <w:p>
      <w:pPr>
        <w:pStyle w:val="ListBullet"/>
        <w:spacing w:after="40"/>
      </w:pPr>
      <w:r>
        <w:rPr>
          <w:rFonts w:ascii="Arial" w:hAnsi="Arial"/>
          <w:sz w:val="20"/>
        </w:rPr>
        <w:t>Testing Team personnel conducting physical testing carry a signed authorization letter (Appendix B) at all times on Client premises. This letter identifies the bearer as an authorized security tester acting under contract.</w:t>
      </w:r>
    </w:p>
    <w:p>
      <w:pPr>
        <w:pStyle w:val="ListBullet"/>
        <w:spacing w:after="40"/>
      </w:pPr>
      <w:r>
        <w:rPr>
          <w:rFonts w:ascii="Arial" w:hAnsi="Arial"/>
          <w:sz w:val="20"/>
        </w:rPr>
        <w:t>The Client's authorized emergency contact (identified in Section 2.1) is reachable at all times during active testing to verbally confirm authorization to any law enforcement officer, security officer, or facility personnel who challenges Testing Team personnel.</w:t>
      </w:r>
    </w:p>
    <w:p>
      <w:pPr>
        <w:pStyle w:val="ListBullet"/>
        <w:spacing w:after="40"/>
      </w:pPr>
      <w:r>
        <w:rPr>
          <w:rFonts w:ascii="Arial" w:hAnsi="Arial"/>
          <w:sz w:val="20"/>
        </w:rPr>
        <w:t>The Client's General Counsel or designated legal representative is aware of this engagement and is prepared to provide written confirmation of authorization to law enforcement on short notice.</w:t>
      </w:r>
    </w:p>
    <w:p>
      <w:pPr>
        <w:spacing w:after="80"/>
      </w:pPr>
      <w:r>
        <w:rPr>
          <w:rFonts w:ascii="Arial" w:hAnsi="Arial"/>
          <w:b w:val="0"/>
          <w:i w:val="0"/>
          <w:sz w:val="20"/>
        </w:rPr>
        <w:t>CLIENT INTERVENTION OBLIGATION: If any Testing Team personnel are detained, arrested, charged, or threatened with criminal or civil action by any law enforcement agency, private security force, or other third party in connection with activities authorized under this Agreement, the Client shall:</w:t>
      </w:r>
    </w:p>
    <w:p>
      <w:pPr>
        <w:pStyle w:val="ListBullet"/>
        <w:spacing w:after="40"/>
      </w:pPr>
      <w:r>
        <w:rPr>
          <w:rFonts w:ascii="Arial" w:hAnsi="Arial"/>
          <w:sz w:val="20"/>
        </w:rPr>
        <w:t>Immediately and unequivocally confirm the authorization of the relevant activities to the detaining authority, in writing if requested, within two (2) hours of notification by the Testing Team or its counsel.</w:t>
      </w:r>
    </w:p>
    <w:p>
      <w:pPr>
        <w:pStyle w:val="ListBullet"/>
        <w:spacing w:after="40"/>
      </w:pPr>
      <w:r>
        <w:rPr>
          <w:rFonts w:ascii="Arial" w:hAnsi="Arial"/>
          <w:sz w:val="20"/>
        </w:rPr>
        <w:t>Provide any law enforcement agency, prosecutor, or court with a certified copy of this Agreement and the authorization letter (Appendix B) upon request.</w:t>
      </w:r>
    </w:p>
    <w:p>
      <w:pPr>
        <w:pStyle w:val="ListBullet"/>
        <w:spacing w:after="40"/>
      </w:pPr>
      <w:r>
        <w:rPr>
          <w:rFonts w:ascii="Arial" w:hAnsi="Arial"/>
          <w:sz w:val="20"/>
        </w:rPr>
        <w:t>Cooperate fully with any investigation to establish that the Testing Team personnel were acting under lawful, written authorization at all relevant times.</w:t>
      </w:r>
    </w:p>
    <w:p>
      <w:pPr>
        <w:pStyle w:val="ListBullet"/>
        <w:spacing w:after="40"/>
      </w:pPr>
      <w:r>
        <w:rPr>
          <w:rFonts w:ascii="Arial" w:hAnsi="Arial"/>
          <w:sz w:val="20"/>
        </w:rPr>
        <w:t>Not unreasonably withhold, delay, or qualify confirmation of authorization once activities have been verified as within scope and time window.</w:t>
      </w:r>
    </w:p>
    <w:p>
      <w:pPr>
        <w:spacing w:after="80"/>
      </w:pPr>
      <w:r>
        <w:rPr>
          <w:rFonts w:ascii="Arial" w:hAnsi="Arial"/>
          <w:b w:val="0"/>
          <w:i w:val="0"/>
          <w:sz w:val="20"/>
        </w:rPr>
        <w:t>The Client's failure to perform the intervention obligations above, where such failure materially contributes to criminal charges, civil liability, or legal defense costs incurred by the Testing Team or its personnel, shall constitute a material breach of this Agreement.</w:t>
      </w:r>
    </w:p>
    <w:p>
      <w:pPr>
        <w:spacing w:before="240" w:after="80"/>
        <w:jc w:val="left"/>
        <w:pBdr>
          <w:bottom w:val="single" w:sz="8" w:space="1" w:color="2E75B6"/>
        </w:pBdr>
      </w:pPr>
      <w:r>
        <w:rPr>
          <w:rFonts w:ascii="Arial" w:hAnsi="Arial"/>
          <w:b/>
          <w:color w:val="1A1A2E"/>
          <w:sz w:val="26"/>
        </w:rPr>
        <w:t>9. Indemnification</w:t>
      </w:r>
    </w:p>
    <w:p>
      <w:pPr>
        <w:spacing w:after="80"/>
      </w:pPr>
      <w:r>
        <w:rPr>
          <w:rFonts w:ascii="Arial" w:hAnsi="Arial"/>
          <w:b w:val="0"/>
          <w:i w:val="0"/>
          <w:sz w:val="20"/>
        </w:rPr>
        <w:t>Client shall indemnify, defend, and hold harmless the Testing Team, its principals, officers, employees, subcontractors, and agents (collectively, 'Indemnified Parties') from and against any and all claims, demands, suits, proceedings, losses, liabilities, damages, costs, and expenses (including reasonable attorneys' fees) arising out of or relating to:</w:t>
      </w:r>
    </w:p>
    <w:p>
      <w:pPr>
        <w:pStyle w:val="ListBullet"/>
        <w:spacing w:after="40"/>
      </w:pPr>
      <w:r>
        <w:rPr>
          <w:rFonts w:ascii="Arial" w:hAnsi="Arial"/>
          <w:sz w:val="20"/>
        </w:rPr>
        <w:t>Any criminal investigation, prosecution, or civil action brought by any third party — including any government agency, law enforcement body, or private party — against any Indemnified Party in connection with testing activities that were authorized under this Agreement and conducted within the defined scope, time windows, and source address restrictions;</w:t>
      </w:r>
    </w:p>
    <w:p>
      <w:pPr>
        <w:pStyle w:val="ListBullet"/>
        <w:spacing w:after="40"/>
      </w:pPr>
      <w:r>
        <w:rPr>
          <w:rFonts w:ascii="Arial" w:hAnsi="Arial"/>
          <w:sz w:val="20"/>
        </w:rPr>
        <w:t>Any claim by a third party (including employees, vendors, customers, or regulators of the Client) arising from testing activities authorized under this Agreement;</w:t>
      </w:r>
    </w:p>
    <w:p>
      <w:pPr>
        <w:pStyle w:val="ListBullet"/>
        <w:spacing w:after="40"/>
      </w:pPr>
      <w:r>
        <w:rPr>
          <w:rFonts w:ascii="Arial" w:hAnsi="Arial"/>
          <w:sz w:val="20"/>
        </w:rPr>
        <w:t>The Client's failure to obtain authorization from third-party asset owners before including third-party-operated assets within the testing scope;</w:t>
      </w:r>
    </w:p>
    <w:p>
      <w:pPr>
        <w:pStyle w:val="ListBullet"/>
        <w:spacing w:after="40"/>
      </w:pPr>
      <w:r>
        <w:rPr>
          <w:rFonts w:ascii="Arial" w:hAnsi="Arial"/>
          <w:sz w:val="20"/>
        </w:rPr>
        <w:t>The Client's failure to perform its intervention obligations under the Law Enforcement Contact clause above.</w:t>
      </w:r>
    </w:p>
    <w:p>
      <w:pPr>
        <w:spacing w:after="80"/>
      </w:pPr>
      <w:r>
        <w:rPr>
          <w:rFonts w:ascii="Arial" w:hAnsi="Arial"/>
          <w:b w:val="0"/>
          <w:i w:val="0"/>
          <w:sz w:val="20"/>
        </w:rPr>
        <w:t>This indemnification obligation shall survive the termination or expiration of this Agreement. It does not apply to activities conducted outside the defined scope, outside the authorized time windows, or from unauthorized source addresses, nor to activities prohibited under Section 3 of the Rules of Engagement document.</w:t>
      </w:r>
    </w:p>
    <w:p>
      <w:pPr>
        <w:spacing w:after="80"/>
      </w:pPr>
      <w:r>
        <w:rPr>
          <w:rFonts w:ascii="Arial" w:hAnsi="Arial"/>
          <w:b w:val="0"/>
          <w:i w:val="0"/>
          <w:sz w:val="20"/>
        </w:rPr>
        <w:t>The Testing Team shall promptly notify the Client of any claim for which indemnification may be sought and shall cooperate reasonably in the defense of such claim. The Client shall have the right to control the defense of any indemnified claim, provided that the Testing Team shall have the right to participate with counsel of its own choosing at its own expense.</w:t>
      </w:r>
    </w:p>
    <w:p>
      <w:pPr>
        <w:spacing w:before="240" w:after="80"/>
        <w:jc w:val="left"/>
        <w:pBdr>
          <w:bottom w:val="single" w:sz="8" w:space="1" w:color="2E75B6"/>
        </w:pBdr>
      </w:pPr>
      <w:r>
        <w:rPr>
          <w:rFonts w:ascii="Arial" w:hAnsi="Arial"/>
          <w:b/>
          <w:color w:val="1A1A2E"/>
          <w:sz w:val="26"/>
        </w:rPr>
        <w:t>10. Limitation of Liability</w:t>
      </w:r>
    </w:p>
    <w:p>
      <w:pPr>
        <w:spacing w:after="80"/>
      </w:pPr>
      <w:r>
        <w:rPr>
          <w:rFonts w:ascii="Arial" w:hAnsi="Arial"/>
          <w:b/>
          <w:i w:val="0"/>
          <w:sz w:val="20"/>
        </w:rPr>
        <w:t>EXCEPT FOR (A) A PARTY'S INDEMNIFICATION OBLIGATIONS, (B) DAMAGES ARISING FROM A PARTY'S GROSS NEGLIGENCE OR WILLFUL MISCONDUCT, OR (C) THE CLIENT'S FAILURE TO PERFORM ITS LAW ENFORCEMENT INTERVENTION OBLIGATIONS, IN NO EVENT SHALL EITHER PARTY BE LIABLE TO THE OTHER FOR ANY INDIRECT, INCIDENTAL, SPECIAL, CONSEQUENTIAL, EXEMPLARY, OR PUNITIVE DAMAGES, REGARDLESS OF THE CAUSE OF ACTION OR THE THEORY OF LIABILITY, EVEN IF SUCH PARTY HAS BEEN ADVISED OF THE POSSIBILITY OF SUCH DAMAGES.</w:t>
      </w:r>
    </w:p>
    <w:p>
      <w:pPr>
        <w:spacing w:after="80"/>
      </w:pPr>
      <w:r>
        <w:rPr>
          <w:rFonts w:ascii="Arial" w:hAnsi="Arial"/>
          <w:b w:val="0"/>
          <w:i w:val="0"/>
          <w:sz w:val="20"/>
        </w:rPr>
        <w:t>The Testing Team's total aggregate liability to the Client under this Agreement shall not exceed the total fees paid by the Client to the Testing Team under this Agreement in the twelve (12) months preceding the event giving rise to the claim. This limitation does not apply to the Client's indemnification obligations.</w:t>
      </w:r>
    </w:p>
    <w:p>
      <w:pPr>
        <w:spacing w:before="240" w:after="80"/>
        <w:jc w:val="left"/>
        <w:pBdr>
          <w:bottom w:val="single" w:sz="8" w:space="1" w:color="2E75B6"/>
        </w:pBdr>
      </w:pPr>
      <w:r>
        <w:rPr>
          <w:rFonts w:ascii="Arial" w:hAnsi="Arial"/>
          <w:b/>
          <w:color w:val="1A1A2E"/>
          <w:sz w:val="26"/>
        </w:rPr>
        <w:t>11. Findings Validity and Scope of Assurance</w:t>
      </w:r>
    </w:p>
    <w:p>
      <w:pPr>
        <w:spacing w:after="80"/>
      </w:pPr>
      <w:r>
        <w:rPr>
          <w:rFonts w:ascii="Arial" w:hAnsi="Arial"/>
          <w:b/>
          <w:i w:val="0"/>
          <w:sz w:val="20"/>
        </w:rPr>
        <w:t>IMPORTANT — PLEASE READ CAREFULLY:</w:t>
      </w:r>
    </w:p>
    <w:p>
      <w:pPr>
        <w:spacing w:after="80"/>
      </w:pPr>
      <w:r>
        <w:rPr>
          <w:rFonts w:ascii="Arial" w:hAnsi="Arial"/>
          <w:b w:val="0"/>
          <w:i w:val="0"/>
          <w:sz w:val="20"/>
        </w:rPr>
        <w:t>The findings, vulnerabilities, and security observations documented in any deliverable produced under this Agreement reflect the security posture of the tested systems AS OF THE DATE(S) OF TESTING ONLY. Security posture changes continuously. The Testing Team makes no representation, warranty, or assurance that:</w:t>
      </w:r>
    </w:p>
    <w:p>
      <w:pPr>
        <w:pStyle w:val="ListBullet"/>
        <w:spacing w:after="40"/>
      </w:pPr>
      <w:r>
        <w:rPr>
          <w:rFonts w:ascii="Arial" w:hAnsi="Arial"/>
          <w:sz w:val="20"/>
        </w:rPr>
        <w:t>The tested systems were free of vulnerabilities not discovered during testing. Penetration testing is a point-in-time sampling exercise, not a comprehensive audit of all possible vulnerabilities.</w:t>
      </w:r>
    </w:p>
    <w:p>
      <w:pPr>
        <w:pStyle w:val="ListBullet"/>
        <w:spacing w:after="40"/>
      </w:pPr>
      <w:r>
        <w:rPr>
          <w:rFonts w:ascii="Arial" w:hAnsi="Arial"/>
          <w:sz w:val="20"/>
        </w:rPr>
        <w:t>The tested systems will remain in the same security state after the completion of testing. System changes, patch deployments, configuration drift, new software installation, and user activity can alter the security posture at any time.</w:t>
      </w:r>
    </w:p>
    <w:p>
      <w:pPr>
        <w:pStyle w:val="ListBullet"/>
        <w:spacing w:after="40"/>
      </w:pPr>
      <w:r>
        <w:rPr>
          <w:rFonts w:ascii="Arial" w:hAnsi="Arial"/>
          <w:sz w:val="20"/>
        </w:rPr>
        <w:t>Vulnerabilities identified during testing represent the complete universe of vulnerabilities present in the tested systems. Testing is inherently bounded by scope, time, methodology, and the state of publicly known attack techniques at the time of testing.</w:t>
      </w:r>
    </w:p>
    <w:p>
      <w:pPr>
        <w:pStyle w:val="ListBullet"/>
        <w:spacing w:after="40"/>
      </w:pPr>
      <w:r>
        <w:rPr>
          <w:rFonts w:ascii="Arial" w:hAnsi="Arial"/>
          <w:sz w:val="20"/>
        </w:rPr>
        <w:t>Remediation of identified findings will result in the tested systems being free of all security vulnerabilities.</w:t>
      </w:r>
    </w:p>
    <w:p>
      <w:pPr>
        <w:pStyle w:val="ListBullet"/>
        <w:spacing w:after="40"/>
      </w:pPr>
      <w:r>
        <w:rPr>
          <w:rFonts w:ascii="Arial" w:hAnsi="Arial"/>
          <w:sz w:val="20"/>
        </w:rPr>
        <w:t>The testing methodology detected all attack paths that a motivated threat actor might use, including zero-day vulnerabilities, insider threats, or attack techniques developed after the testing period.</w:t>
      </w:r>
    </w:p>
    <w:p>
      <w:pPr>
        <w:spacing w:after="80"/>
      </w:pPr>
      <w:r>
        <w:rPr>
          <w:rFonts w:ascii="Arial" w:hAnsi="Arial"/>
          <w:b w:val="0"/>
          <w:i w:val="0"/>
          <w:sz w:val="20"/>
        </w:rPr>
        <w:t>The findings in any deliverable under this Agreement SHALL NOT be used as a representation that the Client's systems are secure, that the Client has met any specific regulatory or compliance standard, or that no breach has occurred or will occur. Compliance with any regulatory framework (including but not limited to PCI-DSS, GLBA, HIPAA, SOX, and FISMA) requires ongoing controls assessment beyond the scope of penetration testing.</w:t>
      </w:r>
    </w:p>
    <w:p>
      <w:pPr>
        <w:spacing w:after="80"/>
      </w:pPr>
      <w:r>
        <w:rPr>
          <w:rFonts w:ascii="Arial" w:hAnsi="Arial"/>
          <w:b w:val="0"/>
          <w:i w:val="0"/>
          <w:sz w:val="20"/>
        </w:rPr>
        <w:t>The Testing Team's findings are provided 'as of the date of testing' and the report should be treated as having a limited shelf life. The Client is advised to conduct regular, periodic testing to maintain current situational awareness of its security posture.</w:t>
      </w:r>
    </w:p>
    <w:p>
      <w:pPr>
        <w:spacing w:before="240" w:after="80"/>
        <w:jc w:val="left"/>
        <w:pBdr>
          <w:bottom w:val="single" w:sz="8" w:space="1" w:color="2E75B6"/>
        </w:pBdr>
      </w:pPr>
      <w:r>
        <w:rPr>
          <w:rFonts w:ascii="Arial" w:hAnsi="Arial"/>
          <w:b/>
          <w:color w:val="1A1A2E"/>
          <w:sz w:val="26"/>
        </w:rPr>
        <w:t>12. Confidentiality and Non-Disclosure</w:t>
      </w:r>
    </w:p>
    <w:p>
      <w:pPr>
        <w:spacing w:after="80"/>
      </w:pPr>
      <w:r>
        <w:rPr>
          <w:rFonts w:ascii="Arial" w:hAnsi="Arial"/>
          <w:b w:val="0"/>
          <w:i w:val="0"/>
          <w:sz w:val="20"/>
        </w:rPr>
        <w:t>All deliverables, findings, vulnerability details, network architecture information, credentials, and other information produced or obtained under this Agreement ('Confidential Information') are strictly confidential. Both parties agree:</w:t>
      </w:r>
    </w:p>
    <w:p>
      <w:pPr>
        <w:pStyle w:val="ListBullet"/>
        <w:spacing w:after="40"/>
      </w:pPr>
      <w:r>
        <w:rPr>
          <w:rFonts w:ascii="Arial" w:hAnsi="Arial"/>
          <w:sz w:val="20"/>
        </w:rPr>
        <w:t>To use Confidential Information solely for the purposes of this engagement and the remediation of identified findings.</w:t>
      </w:r>
    </w:p>
    <w:p>
      <w:pPr>
        <w:pStyle w:val="ListBullet"/>
        <w:spacing w:after="40"/>
      </w:pPr>
      <w:r>
        <w:rPr>
          <w:rFonts w:ascii="Arial" w:hAnsi="Arial"/>
          <w:sz w:val="20"/>
        </w:rPr>
        <w:t>Not to disclose Confidential Information to any third party without the prior written consent of the other party, except as required by law or regulation.</w:t>
      </w:r>
    </w:p>
    <w:p>
      <w:pPr>
        <w:pStyle w:val="ListBullet"/>
        <w:spacing w:after="40"/>
      </w:pPr>
      <w:r>
        <w:rPr>
          <w:rFonts w:ascii="Arial" w:hAnsi="Arial"/>
          <w:sz w:val="20"/>
        </w:rPr>
        <w:t>To protect Confidential Information using at least the same degree of care used to protect their own confidential information, but in no event less than reasonable care.</w:t>
      </w:r>
    </w:p>
    <w:p>
      <w:pPr>
        <w:pStyle w:val="ListBullet"/>
        <w:spacing w:after="40"/>
      </w:pPr>
      <w:r>
        <w:rPr>
          <w:rFonts w:ascii="Arial" w:hAnsi="Arial"/>
          <w:sz w:val="20"/>
        </w:rPr>
        <w:t>The Testing Team shall not publish, present, reference, or disclose any Client-specific findings, vulnerabilities, network details, or engagement outcomes — including in anonymized form — without the Client's express written consent.</w:t>
      </w:r>
    </w:p>
    <w:p>
      <w:pPr>
        <w:pStyle w:val="ListBullet"/>
        <w:spacing w:after="40"/>
      </w:pPr>
      <w:r>
        <w:rPr>
          <w:rFonts w:ascii="Arial" w:hAnsi="Arial"/>
          <w:sz w:val="20"/>
        </w:rPr>
        <w:t>This confidentiality obligation survives the termination or expiration of this Agreement for a period of five (5) years, or indefinitely with respect to information that constitutes a trade secret under applicable law.</w:t>
      </w:r>
    </w:p>
    <w:p>
      <w:pPr>
        <w:spacing w:before="240" w:after="80"/>
        <w:jc w:val="left"/>
        <w:pBdr>
          <w:bottom w:val="single" w:sz="8" w:space="1" w:color="2E75B6"/>
        </w:pBdr>
      </w:pPr>
      <w:r>
        <w:rPr>
          <w:rFonts w:ascii="Arial" w:hAnsi="Arial"/>
          <w:b/>
          <w:color w:val="1A1A2E"/>
          <w:sz w:val="26"/>
        </w:rPr>
        <w:t>13. Governing Law and Dispute Resolution</w:t>
      </w:r>
    </w:p>
    <w:p>
      <w:pPr>
        <w:spacing w:after="80"/>
      </w:pPr>
      <w:r>
        <w:rPr>
          <w:rFonts w:ascii="Arial" w:hAnsi="Arial"/>
          <w:b w:val="0"/>
          <w:i w:val="0"/>
          <w:sz w:val="20"/>
        </w:rPr>
        <w:t>This Agreement shall be governed by and construed in accordance with the laws of the state in which the Testing Team's principal place of business is located, without regard to its conflict-of-law provisions.</w:t>
      </w:r>
    </w:p>
    <w:p>
      <w:pPr>
        <w:spacing w:after="80"/>
      </w:pPr>
      <w:r>
        <w:rPr>
          <w:rFonts w:ascii="Arial" w:hAnsi="Arial"/>
          <w:b w:val="0"/>
          <w:i w:val="0"/>
          <w:sz w:val="20"/>
        </w:rPr>
        <w:t>Any dispute arising out of or relating to this Agreement shall first be submitted to good-faith negotiation between the parties' authorized representatives. If not resolved within thirty (30) days, the dispute shall be submitted to binding arbitration under the commercial arbitration rules of the American Arbitration Association, with arbitration to take place in the Testing Team's home jurisdiction. Each party shall bear its own costs of arbitration.</w:t>
      </w:r>
    </w:p>
    <w:p>
      <w:pPr>
        <w:spacing w:after="80"/>
      </w:pPr>
      <w:r>
        <w:rPr>
          <w:rFonts w:ascii="Arial" w:hAnsi="Arial"/>
          <w:b w:val="0"/>
          <w:i w:val="0"/>
          <w:sz w:val="20"/>
        </w:rPr>
        <w:t>Nothing in this Agreement prevents either party from seeking injunctive or other equitable relief from a court of competent jurisdiction where necessary to prevent irreparable harm.</w:t>
      </w:r>
    </w:p>
    <w:p>
      <w:pPr>
        <w:spacing w:before="240" w:after="80"/>
        <w:jc w:val="left"/>
        <w:pBdr>
          <w:bottom w:val="single" w:sz="8" w:space="1" w:color="2E75B6"/>
        </w:pBdr>
      </w:pPr>
      <w:r>
        <w:rPr>
          <w:rFonts w:ascii="Arial" w:hAnsi="Arial"/>
          <w:b/>
          <w:color w:val="1A1A2E"/>
          <w:sz w:val="26"/>
        </w:rPr>
        <w:t>14. Entire Agreement and Severability</w:t>
      </w:r>
    </w:p>
    <w:p>
      <w:pPr>
        <w:spacing w:after="80"/>
      </w:pPr>
      <w:r>
        <w:rPr>
          <w:rFonts w:ascii="Arial" w:hAnsi="Arial"/>
          <w:b w:val="0"/>
          <w:i w:val="0"/>
          <w:sz w:val="20"/>
        </w:rPr>
        <w:t>This Agreement, together with the accompanying Rules of Engagement document and any exhibits or appendices attached hereto, constitutes the entire agreement between the parties with respect to its subject matter and supersedes all prior negotiations, representations, warranties, and understandings of the parties with respect thereto.</w:t>
      </w:r>
    </w:p>
    <w:p>
      <w:pPr>
        <w:spacing w:after="80"/>
      </w:pPr>
      <w:r>
        <w:rPr>
          <w:rFonts w:ascii="Arial" w:hAnsi="Arial"/>
          <w:b w:val="0"/>
          <w:i w:val="0"/>
          <w:sz w:val="20"/>
        </w:rPr>
        <w:t>If any provision of this Agreement is found to be invalid, illegal, or unenforceable, the remaining provisions shall continue in full force and effect. The invalid or unenforceable provision shall be modified to the minimum extent necessary to make it valid and enforceable while preserving the parties' original intent.</w:t>
      </w:r>
    </w:p>
    <w:p>
      <w:pPr>
        <w:spacing w:after="80"/>
      </w:pPr>
      <w:r>
        <w:rPr>
          <w:rFonts w:ascii="Arial" w:hAnsi="Arial"/>
          <w:b w:val="0"/>
          <w:i w:val="0"/>
          <w:sz w:val="20"/>
        </w:rPr>
        <w:t>This Agreement may not be amended except by a written instrument signed by authorized representatives of both parties. No waiver of any provision of this Agreement shall be effective unless in writing and shall not be construed as a waiver of any other provision.</w:t>
      </w:r>
    </w:p>
    <w:p>
      <w:pPr>
        <w:spacing w:before="240" w:after="80"/>
        <w:jc w:val="left"/>
        <w:pBdr>
          <w:bottom w:val="single" w:sz="8" w:space="1" w:color="2E75B6"/>
        </w:pBdr>
      </w:pPr>
      <w:r>
        <w:rPr>
          <w:rFonts w:ascii="Arial" w:hAnsi="Arial"/>
          <w:b/>
          <w:color w:val="1A1A2E"/>
          <w:sz w:val="26"/>
        </w:rPr>
        <w:t>15. Signatures and Authorization</w:t>
      </w:r>
    </w:p>
    <w:p>
      <w:pPr>
        <w:spacing w:after="80"/>
      </w:pPr>
      <w:r>
        <w:rPr>
          <w:rFonts w:ascii="Arial" w:hAnsi="Arial"/>
          <w:b w:val="0"/>
          <w:i w:val="0"/>
          <w:sz w:val="20"/>
        </w:rPr>
        <w:t>By signing below, each party represents that they have read, understood, and agree to the terms of this Agreement. The Client signatory represents and warrants that they have legal authority to authorize penetration testing of all assets listed in Section 3.</w:t>
      </w:r>
    </w:p>
    <w:p>
      <w:pPr>
        <w:spacing w:after="80"/>
      </w:pPr>
      <w:r>
        <w:rPr>
          <w:rFonts w:ascii="Arial" w:hAnsi="Arial"/>
          <w:b/>
          <w:i w:val="0"/>
          <w:sz w:val="20"/>
        </w:rPr>
        <w:t>THIS DOCUMENT MUST BE FULLY EXECUTED BY BOTH PARTIES BEFORE ANY TESTING ACTIVITY COMMENCES.</w:t>
      </w:r>
    </w:p>
    <w:p/>
    <w:p>
      <w:pPr>
        <w:spacing w:after="80"/>
      </w:pPr>
      <w:r>
        <w:rPr>
          <w:rFonts w:ascii="Arial" w:hAnsi="Arial"/>
          <w:b/>
          <w:i w:val="0"/>
          <w:sz w:val="20"/>
        </w:rPr>
        <w:t>For Meridian Community Bank, N.A.</w:t>
      </w:r>
    </w:p>
    <w:tbl>
      <w:tblPr>
        <w:tblStyle w:val="TableGrid"/>
        <w:tblW w:type="auto" w:w="0"/>
        <w:tblLook w:firstColumn="1" w:firstRow="1" w:lastColumn="0" w:lastRow="0" w:noHBand="0" w:noVBand="1" w:val="04A0"/>
      </w:tblPr>
      <w:tblGrid>
        <w:gridCol w:w="4680"/>
        <w:gridCol w:w="4680"/>
      </w:tblGrid>
      <w:tr>
        <w:trPr>
          <w:trHeight w:val="454"/>
        </w:trPr>
        <w:tc>
          <w:tcPr>
            <w:tcW w:type="dxa" w:w="5040"/>
            <w:shd w:val="clear" w:color="auto" w:fill="F2F2F2"/>
            <w:tcBorders>
              <w:top w:val="single" w:sz="4" w:space="0" w:color="CCCCCC"/>
              <w:left w:val="single" w:sz="4" w:space="0" w:color="CCCCCC"/>
              <w:bottom w:val="single" w:sz="4" w:space="0" w:color="CCCCCC"/>
              <w:right w:val="single" w:sz="4" w:space="0" w:color="CCCCCC"/>
            </w:tcBorders>
          </w:tcPr>
          <w:p>
            <w:r>
              <w:rPr>
                <w:rFonts w:ascii="Arial" w:hAnsi="Arial"/>
                <w:b/>
                <w:color w:val="1F4E79"/>
                <w:sz w:val="18"/>
              </w:rPr>
              <w:t>Signature — Authorizing Executive (CISO)</w:t>
            </w:r>
          </w:p>
        </w:tc>
        <w:tc>
          <w:tcPr>
            <w:tcW w:type="dxa" w:w="5040"/>
            <w:shd w:val="clear" w:color="auto" w:fill="F2F2F2"/>
            <w:tcBorders>
              <w:top w:val="single" w:sz="4" w:space="0" w:color="CCCCCC"/>
              <w:left w:val="single" w:sz="4" w:space="0" w:color="CCCCCC"/>
              <w:bottom w:val="single" w:sz="4" w:space="0" w:color="CCCCCC"/>
              <w:right w:val="single" w:sz="4" w:space="0" w:color="CCCCCC"/>
            </w:tcBorders>
          </w:tcPr>
          <w:p>
            <w:r>
              <w:rPr>
                <w:rFonts w:ascii="Arial" w:hAnsi="Arial"/>
                <w:b/>
                <w:color w:val="1F4E79"/>
                <w:sz w:val="18"/>
              </w:rPr>
              <w:t>Signature — Reviewed by General Counsel</w:t>
            </w:r>
          </w:p>
        </w:tc>
      </w:tr>
      <w:tr>
        <w:trPr>
          <w:trHeight w:val="567"/>
        </w:trPr>
        <w:tc>
          <w:tcPr>
            <w:tcW w:type="dxa" w:w="504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b w:val="0"/>
                <w:sz w:val="18"/>
              </w:rPr>
              <w:t>Printed Name / Title</w:t>
            </w:r>
          </w:p>
        </w:tc>
        <w:tc>
          <w:tcPr>
            <w:tcW w:type="dxa" w:w="504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b w:val="0"/>
                <w:sz w:val="18"/>
              </w:rPr>
              <w:t>Printed Name / Title</w:t>
            </w:r>
          </w:p>
        </w:tc>
      </w:tr>
      <w:tr>
        <w:trPr>
          <w:trHeight w:val="567"/>
        </w:trPr>
        <w:tc>
          <w:tcPr>
            <w:tcW w:type="dxa" w:w="504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b w:val="0"/>
                <w:sz w:val="18"/>
              </w:rPr>
              <w:t>Date</w:t>
            </w:r>
          </w:p>
        </w:tc>
        <w:tc>
          <w:tcPr>
            <w:tcW w:type="dxa" w:w="504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b w:val="0"/>
                <w:sz w:val="18"/>
              </w:rPr>
              <w:t>Date</w:t>
            </w:r>
          </w:p>
        </w:tc>
      </w:tr>
      <w:tr>
        <w:trPr>
          <w:trHeight w:val="567"/>
        </w:trPr>
        <w:tc>
          <w:tcPr>
            <w:tcW w:type="dxa" w:w="504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b w:val="0"/>
                <w:sz w:val="18"/>
              </w:rPr>
            </w:r>
          </w:p>
        </w:tc>
        <w:tc>
          <w:tcPr>
            <w:tcW w:type="dxa" w:w="504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b w:val="0"/>
                <w:sz w:val="18"/>
              </w:rPr>
            </w:r>
          </w:p>
        </w:tc>
      </w:tr>
    </w:tbl>
    <w:p/>
    <w:p>
      <w:pPr>
        <w:spacing w:after="80"/>
      </w:pPr>
      <w:r>
        <w:rPr>
          <w:rFonts w:ascii="Arial" w:hAnsi="Arial"/>
          <w:b/>
          <w:i w:val="0"/>
          <w:sz w:val="20"/>
        </w:rPr>
        <w:t>For Redline Security Group LLC</w:t>
      </w:r>
    </w:p>
    <w:tbl>
      <w:tblPr>
        <w:tblStyle w:val="TableGrid"/>
        <w:tblW w:type="auto" w:w="0"/>
        <w:tblLook w:firstColumn="1" w:firstRow="1" w:lastColumn="0" w:lastRow="0" w:noHBand="0" w:noVBand="1" w:val="04A0"/>
      </w:tblPr>
      <w:tblGrid>
        <w:gridCol w:w="4680"/>
        <w:gridCol w:w="4680"/>
      </w:tblGrid>
      <w:tr>
        <w:trPr>
          <w:trHeight w:val="454"/>
        </w:trPr>
        <w:tc>
          <w:tcPr>
            <w:tcW w:type="dxa" w:w="5040"/>
            <w:shd w:val="clear" w:color="auto" w:fill="F2F2F2"/>
            <w:tcBorders>
              <w:top w:val="single" w:sz="4" w:space="0" w:color="CCCCCC"/>
              <w:left w:val="single" w:sz="4" w:space="0" w:color="CCCCCC"/>
              <w:bottom w:val="single" w:sz="4" w:space="0" w:color="CCCCCC"/>
              <w:right w:val="single" w:sz="4" w:space="0" w:color="CCCCCC"/>
            </w:tcBorders>
          </w:tcPr>
          <w:p>
            <w:r>
              <w:rPr>
                <w:rFonts w:ascii="Arial" w:hAnsi="Arial"/>
                <w:b/>
                <w:color w:val="1F4E79"/>
                <w:sz w:val="18"/>
              </w:rPr>
              <w:t>Signature — Engagement Lead</w:t>
            </w:r>
          </w:p>
        </w:tc>
        <w:tc>
          <w:tcPr>
            <w:tcW w:type="dxa" w:w="5040"/>
            <w:shd w:val="clear" w:color="auto" w:fill="F2F2F2"/>
            <w:tcBorders>
              <w:top w:val="single" w:sz="4" w:space="0" w:color="CCCCCC"/>
              <w:left w:val="single" w:sz="4" w:space="0" w:color="CCCCCC"/>
              <w:bottom w:val="single" w:sz="4" w:space="0" w:color="CCCCCC"/>
              <w:right w:val="single" w:sz="4" w:space="0" w:color="CCCCCC"/>
            </w:tcBorders>
          </w:tcPr>
          <w:p>
            <w:r>
              <w:rPr>
                <w:rFonts w:ascii="Arial" w:hAnsi="Arial"/>
                <w:b/>
                <w:color w:val="1F4E79"/>
                <w:sz w:val="18"/>
              </w:rPr>
              <w:t>Signature — Testing Firm Principal / Director</w:t>
            </w:r>
          </w:p>
        </w:tc>
      </w:tr>
      <w:tr>
        <w:trPr>
          <w:trHeight w:val="567"/>
        </w:trPr>
        <w:tc>
          <w:tcPr>
            <w:tcW w:type="dxa" w:w="504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b w:val="0"/>
                <w:sz w:val="18"/>
              </w:rPr>
              <w:t>Printed Name / Title</w:t>
            </w:r>
          </w:p>
        </w:tc>
        <w:tc>
          <w:tcPr>
            <w:tcW w:type="dxa" w:w="504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b w:val="0"/>
                <w:sz w:val="18"/>
              </w:rPr>
              <w:t>Printed Name / Title</w:t>
            </w:r>
          </w:p>
        </w:tc>
      </w:tr>
      <w:tr>
        <w:trPr>
          <w:trHeight w:val="567"/>
        </w:trPr>
        <w:tc>
          <w:tcPr>
            <w:tcW w:type="dxa" w:w="504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b w:val="0"/>
                <w:sz w:val="18"/>
              </w:rPr>
              <w:t>Date</w:t>
            </w:r>
          </w:p>
        </w:tc>
        <w:tc>
          <w:tcPr>
            <w:tcW w:type="dxa" w:w="504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b w:val="0"/>
                <w:sz w:val="18"/>
              </w:rPr>
              <w:t>Date</w:t>
            </w:r>
          </w:p>
        </w:tc>
      </w:tr>
      <w:tr>
        <w:trPr>
          <w:trHeight w:val="567"/>
        </w:trPr>
        <w:tc>
          <w:tcPr>
            <w:tcW w:type="dxa" w:w="504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b w:val="0"/>
                <w:sz w:val="18"/>
              </w:rPr>
            </w:r>
          </w:p>
        </w:tc>
        <w:tc>
          <w:tcPr>
            <w:tcW w:type="dxa" w:w="504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b w:val="0"/>
                <w:sz w:val="18"/>
              </w:rPr>
            </w:r>
          </w:p>
        </w:tc>
      </w:tr>
    </w:tbl>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space="1" w:color="2E75B6"/>
      </w:pBdr>
      <w:tabs>
        <w:tab w:val="center" w:pos="4680"/>
        <w:tab w:val="right" w:pos="9360"/>
      </w:tabs>
    </w:pPr>
    <w:r>
      <w:rPr>
        <w:rFonts w:ascii="Arial" w:hAnsi="Arial"/>
        <w:color w:val="7E8A96"/>
        <w:sz w:val="16"/>
      </w:rPr>
      <w:t>MCB-2026-PT-001</w:t>
    </w:r>
    <w:r>
      <w:tab/>
    </w:r>
    <w:r>
      <w:rPr>
        <w:rFonts w:ascii="Arial" w:hAnsi="Arial"/>
        <w:color w:val="7E8A96"/>
        <w:sz w:val="16"/>
      </w:rPr>
      <w:fldChar w:fldCharType="begin"/>
      <w:instrText xml:space="preserve">PAGE</w:instrText>
      <w:fldChar w:fldCharType="end"/>
    </w:r>
    <w:r>
      <w:rPr>
        <w:sz w:val="16"/>
      </w:rPr>
      <w:t xml:space="preserve"> of </w:t>
    </w:r>
    <w:r>
      <w:rPr>
        <w:rFonts w:ascii="Arial" w:hAnsi="Arial"/>
        <w:color w:val="7E8A96"/>
        <w:sz w:val="16"/>
      </w:rPr>
      <w:fldChar w:fldCharType="begin"/>
      <w:instrText xml:space="preserve">NUMPAGES</w:instrText>
      <w:fldChar w:fldCharType="end"/>
    </w:r>
    <w:r>
      <w:tab/>
    </w:r>
    <w:r>
      <w:rPr>
        <w:rFonts w:ascii="Arial" w:hAnsi="Arial"/>
        <w:color w:val="7E8A96"/>
        <w:sz w:val="16"/>
      </w:rPr>
      <w:t>v1.0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4" w:space="1" w:color="2E75B6"/>
      </w:pBdr>
    </w:pPr>
    <w:r>
      <w:rPr>
        <w:rFonts w:ascii="Arial" w:hAnsi="Arial"/>
        <w:b/>
        <w:color w:val="C00000"/>
        <w:sz w:val="16"/>
      </w:rPr>
      <w:t>★  CONFIDENTIAL — SCOPE OF WORK  ★</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