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1A2E"/>
          <w:sz w:val="40"/>
        </w:rPr>
        <w:t>RULES OF ENGAGEMENT</w:t>
      </w:r>
    </w:p>
    <w:p>
      <w:pPr>
        <w:jc w:val="center"/>
      </w:pPr>
      <w:r>
        <w:rPr>
          <w:rFonts w:ascii="Arial" w:hAnsi="Arial"/>
          <w:b/>
          <w:color w:val="1F4E79"/>
          <w:sz w:val="24"/>
        </w:rPr>
        <w:t>PENETRATION TEST OPERATIONAL PROCEDURES AND CONSTRAINTS</w:t>
      </w:r>
    </w:p>
    <w:p/>
    <w:tbl>
      <w:tblPr>
        <w:tblStyle w:val="TableGrid"/>
        <w:tblW w:type="auto" w:w="0"/>
        <w:tblLook w:firstColumn="1" w:firstRow="1" w:lastColumn="0" w:lastRow="0" w:noHBand="0" w:noVBand="1" w:val="04A0"/>
      </w:tblPr>
      <w:tblGrid>
        <w:gridCol w:w="4680"/>
        <w:gridCol w:w="4680"/>
      </w:tblGrid>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Companion Document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03172026-SIS-001 (Scope of Work)</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ROE Document ID</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03172026-SIS-001-ROE</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Client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Strange Home Networks</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Testing Firm</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Strange Integrity Systems</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Effective 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June 01, 2026</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Expiration Date</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September 30, 2026</w:t>
            </w:r>
          </w:p>
        </w:tc>
      </w:tr>
      <w:tr>
        <w:tc>
          <w:tcPr>
            <w:tcW w:type="dxa" w:w="3168"/>
            <w:shd w:val="clear" w:color="auto" w:fill="1F4E79"/>
            <w:tcBorders>
              <w:top w:val="single" w:sz="4" w:space="0" w:color="1F4E79"/>
              <w:left w:val="single" w:sz="4" w:space="0" w:color="1F4E79"/>
              <w:bottom w:val="single" w:sz="4" w:space="0" w:color="1F4E79"/>
              <w:right w:val="single" w:sz="4" w:space="0" w:color="1F4E79"/>
            </w:tcBorders>
          </w:tcPr>
          <w:p>
            <w:r>
              <w:rPr>
                <w:rFonts w:ascii="Arial" w:hAnsi="Arial"/>
                <w:b/>
                <w:color w:val="FFFFFF"/>
                <w:sz w:val="18"/>
              </w:rPr>
              <w:t>Classification</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CONFIDENTIAL — RESTRICTED</w:t>
            </w:r>
          </w:p>
        </w:tc>
      </w:tr>
    </w:tbl>
    <w:p/>
    <w:p>
      <w:pPr>
        <w:spacing w:before="120" w:after="120"/>
      </w:pPr>
      <w:r>
        <w:rPr>
          <w:rFonts w:ascii="Arial" w:hAnsi="Arial"/>
          <w:b/>
          <w:i/>
          <w:color w:val="1F4E79"/>
          <w:sz w:val="18"/>
        </w:rPr>
        <w:t>This Rules of Engagement document defines the operational constraints, communication procedures, escalation requirements, and technique-level authorization matrix for this engagement. This document must be read in conjunction with the Scope of Work. In the event of conflict, the more restrictive provision governs.</w:t>
      </w:r>
    </w:p>
    <w:p>
      <w:pPr>
        <w:spacing w:before="240" w:after="80"/>
        <w:jc w:val="left"/>
        <w:pBdr>
          <w:bottom w:val="single" w:sz="8" w:space="1" w:color="2E75B6"/>
        </w:pBdr>
      </w:pPr>
      <w:r>
        <w:rPr>
          <w:rFonts w:ascii="Arial" w:hAnsi="Arial"/>
          <w:b/>
          <w:color w:val="1A1A2E"/>
          <w:sz w:val="26"/>
        </w:rPr>
        <w:t>1. Communication Protocols</w:t>
      </w:r>
    </w:p>
    <w:p>
      <w:pPr>
        <w:spacing w:before="240" w:after="80"/>
        <w:jc w:val="left"/>
        <w:pBdr>
          <w:bottom w:val="single" w:sz="4" w:space="1" w:color="2E75B6"/>
        </w:pBdr>
      </w:pPr>
      <w:r>
        <w:rPr>
          <w:rFonts w:ascii="Arial" w:hAnsi="Arial"/>
          <w:b/>
          <w:color w:val="1A1A2E"/>
          <w:sz w:val="22"/>
        </w:rPr>
        <w:t>1.1 Daily Operational Communication</w:t>
      </w:r>
    </w:p>
    <w:p>
      <w:pPr>
        <w:spacing w:after="80"/>
      </w:pPr>
      <w:r>
        <w:rPr>
          <w:rFonts w:ascii="Arial" w:hAnsi="Arial"/>
          <w:b w:val="0"/>
          <w:i w:val="0"/>
          <w:sz w:val="20"/>
        </w:rPr>
        <w:t>The Ximian P Black will send a brief daily activity summary to the Client Technical Contact (dfgsdfrs) by 18:00 Eastern each active testing day. This summary will include: systems tested, techniques employed, anomalies encountered, and planned activities for the following day.</w:t>
      </w:r>
    </w:p>
    <w:p>
      <w:pPr>
        <w:spacing w:after="80"/>
      </w:pPr>
      <w:r>
        <w:rPr>
          <w:rFonts w:ascii="Arial" w:hAnsi="Arial"/>
          <w:b w:val="0"/>
          <w:i w:val="0"/>
          <w:sz w:val="20"/>
        </w:rPr>
        <w:t>All daily communications will be sent via encrypted email.</w:t>
      </w:r>
    </w:p>
    <w:p>
      <w:pPr>
        <w:spacing w:before="240" w:after="80"/>
        <w:jc w:val="left"/>
        <w:pBdr>
          <w:bottom w:val="single" w:sz="4" w:space="1" w:color="2E75B6"/>
        </w:pBdr>
      </w:pPr>
      <w:r>
        <w:rPr>
          <w:rFonts w:ascii="Arial" w:hAnsi="Arial"/>
          <w:b/>
          <w:color w:val="1A1A2E"/>
          <w:sz w:val="22"/>
        </w:rPr>
        <w:t>1.2 Critical Finding Notification (4-Hour Rule)</w:t>
      </w:r>
    </w:p>
    <w:p>
      <w:pPr>
        <w:spacing w:after="80"/>
      </w:pPr>
      <w:r>
        <w:rPr>
          <w:rFonts w:ascii="Arial" w:hAnsi="Arial"/>
          <w:b w:val="0"/>
          <w:i w:val="0"/>
          <w:sz w:val="20"/>
        </w:rPr>
        <w:t>If the Testing Team discovers any finding meeting the following criteria, the Client CISO must be notified within 4 hours of discovery regardless of time of day:</w:t>
      </w:r>
    </w:p>
    <w:p>
      <w:pPr>
        <w:pStyle w:val="ListBullet"/>
        <w:spacing w:after="40"/>
      </w:pPr>
      <w:r>
        <w:rPr>
          <w:rFonts w:ascii="Arial" w:hAnsi="Arial"/>
          <w:sz w:val="20"/>
        </w:rPr>
        <w:t>Any unauthenticated remote code execution against a production system</w:t>
      </w:r>
    </w:p>
    <w:p>
      <w:pPr>
        <w:pStyle w:val="ListBullet"/>
        <w:spacing w:after="40"/>
      </w:pPr>
      <w:r>
        <w:rPr>
          <w:rFonts w:ascii="Arial" w:hAnsi="Arial"/>
          <w:sz w:val="20"/>
        </w:rPr>
        <w:t>Any confirmed access to customer PII, account data, or transaction records</w:t>
      </w:r>
    </w:p>
    <w:p>
      <w:pPr>
        <w:pStyle w:val="ListBullet"/>
        <w:spacing w:after="40"/>
      </w:pPr>
      <w:r>
        <w:rPr>
          <w:rFonts w:ascii="Arial" w:hAnsi="Arial"/>
          <w:sz w:val="20"/>
        </w:rPr>
        <w:t>Any successful authentication bypass against online banking or core systems</w:t>
      </w:r>
    </w:p>
    <w:p>
      <w:pPr>
        <w:pStyle w:val="ListBullet"/>
        <w:spacing w:after="40"/>
      </w:pPr>
      <w:r>
        <w:rPr>
          <w:rFonts w:ascii="Arial" w:hAnsi="Arial"/>
          <w:sz w:val="20"/>
        </w:rPr>
        <w:t>Any finding that poses an immediate risk of financial loss or regulatory violation</w:t>
      </w:r>
    </w:p>
    <w:p>
      <w:pPr>
        <w:pStyle w:val="ListBullet"/>
        <w:spacing w:after="40"/>
      </w:pPr>
      <w:r>
        <w:rPr>
          <w:rFonts w:ascii="Arial" w:hAnsi="Arial"/>
          <w:sz w:val="20"/>
        </w:rPr>
        <w:t>Any evidence of an existing third-party compromise or active intrusion</w:t>
      </w:r>
    </w:p>
    <w:p>
      <w:pPr>
        <w:pStyle w:val="ListBullet"/>
        <w:spacing w:after="40"/>
      </w:pPr>
      <w:r>
        <w:rPr>
          <w:rFonts w:ascii="Arial" w:hAnsi="Arial"/>
          <w:sz w:val="20"/>
        </w:rPr>
        <w:t>Any accidental impact to production system availability or data integrity</w:t>
      </w:r>
    </w:p>
    <w:p>
      <w:pPr>
        <w:spacing w:after="80"/>
      </w:pPr>
      <w:r>
        <w:rPr>
          <w:rFonts w:ascii="Arial" w:hAnsi="Arial"/>
          <w:b w:val="0"/>
          <w:i w:val="0"/>
          <w:sz w:val="20"/>
        </w:rPr>
        <w:t>Critical finding notification will be made via phone call to the Client CISO (sdf, 231-123-0174) followed immediately by encrypted email. If the CISO is unreachable after two call attempts within 30 minutes, Ximian P Black (231-123-0151) will be contacted.</w:t>
      </w:r>
    </w:p>
    <w:p>
      <w:pPr>
        <w:spacing w:before="240" w:after="80"/>
        <w:jc w:val="left"/>
        <w:pBdr>
          <w:bottom w:val="single" w:sz="4" w:space="1" w:color="2E75B6"/>
        </w:pBdr>
      </w:pPr>
      <w:r>
        <w:rPr>
          <w:rFonts w:ascii="Arial" w:hAnsi="Arial"/>
          <w:b/>
          <w:color w:val="1A1A2E"/>
          <w:sz w:val="22"/>
        </w:rPr>
        <w:t>1.3 Emergency Test Suspension</w:t>
      </w:r>
    </w:p>
    <w:p>
      <w:pPr>
        <w:spacing w:after="80"/>
      </w:pPr>
      <w:r>
        <w:rPr>
          <w:rFonts w:ascii="Arial" w:hAnsi="Arial"/>
          <w:b w:val="0"/>
          <w:i w:val="0"/>
          <w:sz w:val="20"/>
        </w:rPr>
        <w:t>Testing must be immediately suspended and the Client CISO notified if any of the following occur:</w:t>
      </w:r>
    </w:p>
    <w:p>
      <w:pPr>
        <w:pStyle w:val="ListBullet"/>
        <w:spacing w:after="40"/>
      </w:pPr>
      <w:r>
        <w:rPr>
          <w:rFonts w:ascii="Arial" w:hAnsi="Arial"/>
          <w:sz w:val="20"/>
        </w:rPr>
        <w:t>Client invokes the stop-work order via the emergency contact number</w:t>
      </w:r>
    </w:p>
    <w:p>
      <w:pPr>
        <w:pStyle w:val="ListBullet"/>
        <w:spacing w:after="40"/>
      </w:pPr>
      <w:r>
        <w:rPr>
          <w:rFonts w:ascii="Arial" w:hAnsi="Arial"/>
          <w:sz w:val="20"/>
        </w:rPr>
        <w:t>Testing Team detects that testing activity has caused unintended production impact</w:t>
      </w:r>
    </w:p>
    <w:p>
      <w:pPr>
        <w:pStyle w:val="ListBullet"/>
        <w:spacing w:after="40"/>
      </w:pPr>
      <w:r>
        <w:rPr>
          <w:rFonts w:ascii="Arial" w:hAnsi="Arial"/>
          <w:sz w:val="20"/>
        </w:rPr>
        <w:t>Testing Team gains access to an out-of-scope system through lateral movement or misconfiguration</w:t>
      </w:r>
    </w:p>
    <w:p>
      <w:pPr>
        <w:pStyle w:val="ListBullet"/>
        <w:spacing w:after="40"/>
      </w:pPr>
      <w:r>
        <w:rPr>
          <w:rFonts w:ascii="Arial" w:hAnsi="Arial"/>
          <w:sz w:val="20"/>
        </w:rPr>
        <w:t>Testing Team discovers evidence of an active breach by a third party</w:t>
      </w:r>
    </w:p>
    <w:p>
      <w:pPr>
        <w:pStyle w:val="ListBullet"/>
        <w:spacing w:after="40"/>
      </w:pPr>
      <w:r>
        <w:rPr>
          <w:rFonts w:ascii="Arial" w:hAnsi="Arial"/>
          <w:sz w:val="20"/>
        </w:rPr>
        <w:t>Any member of the testing team is challenged, detained, or threatened during physical testing</w:t>
      </w:r>
    </w:p>
    <w:p>
      <w:pPr>
        <w:spacing w:after="80"/>
      </w:pPr>
      <w:r>
        <w:rPr>
          <w:rFonts w:ascii="Arial" w:hAnsi="Arial"/>
          <w:b w:val="0"/>
          <w:i w:val="0"/>
          <w:sz w:val="20"/>
        </w:rPr>
        <w:t>Following suspension, the Testing Team will provide a written incident report within 2 business hours. No testing may resume without explicit written authorization from the Client CISO.</w:t>
      </w:r>
    </w:p>
    <w:p>
      <w:pPr>
        <w:spacing w:before="240" w:after="80"/>
        <w:jc w:val="left"/>
        <w:pBdr>
          <w:bottom w:val="single" w:sz="8" w:space="1" w:color="2E75B6"/>
        </w:pBdr>
      </w:pPr>
      <w:r>
        <w:rPr>
          <w:rFonts w:ascii="Arial" w:hAnsi="Arial"/>
          <w:b/>
          <w:color w:val="1A1A2E"/>
          <w:sz w:val="26"/>
        </w:rPr>
        <w:t>2. Technique Authorization Matrix</w:t>
      </w:r>
    </w:p>
    <w:p>
      <w:pPr>
        <w:spacing w:after="80"/>
      </w:pPr>
      <w:r>
        <w:rPr>
          <w:rFonts w:ascii="Arial" w:hAnsi="Arial"/>
          <w:b w:val="0"/>
          <w:i w:val="0"/>
          <w:sz w:val="20"/>
        </w:rPr>
        <w:t>The following matrix defines authorization status for each testing technique category. AUTHORIZED = authorized as described. NOT AUTHORIZED = strictly prohibited. CONDITIONAL = authorized only under the stated conditions. Any technique not listed is considered NOT AUTHORIZED by default.</w:t>
      </w:r>
    </w:p>
    <w:p>
      <w:pPr>
        <w:spacing w:after="80"/>
      </w:pPr>
      <w:r>
        <w:rPr>
          <w:rFonts w:ascii="Arial" w:hAnsi="Arial"/>
          <w:b w:val="0"/>
          <w:i w:val="0"/>
          <w:sz w:val="20"/>
        </w:rPr>
        <w:t>Technique IDs reference MITRE ATT’é ATT&amp;CK Enterprise v15. Testing phases follow NIST SP 800-115 and PTES. See Appendix A for framework reference.</w:t>
      </w:r>
    </w:p>
    <w:p>
      <w:pPr>
        <w:spacing w:before="240" w:after="80"/>
        <w:jc w:val="left"/>
        <w:pBdr>
          <w:bottom w:val="single" w:sz="8" w:space="1" w:color="2E75B6"/>
        </w:pBdr>
      </w:pPr>
      <w:r>
        <w:rPr>
          <w:rFonts w:ascii="Arial" w:hAnsi="Arial"/>
          <w:b/>
          <w:color w:val="1A1A2E"/>
          <w:sz w:val="26"/>
        </w:rPr>
        <w:t>3. Prohibited Actions (Absolute)</w:t>
      </w:r>
    </w:p>
    <w:p>
      <w:pPr>
        <w:spacing w:after="80"/>
      </w:pPr>
      <w:r>
        <w:rPr>
          <w:rFonts w:ascii="Arial" w:hAnsi="Arial"/>
          <w:b w:val="0"/>
          <w:i w:val="0"/>
          <w:sz w:val="20"/>
        </w:rPr>
        <w:t>The following actions are prohibited under all circumstances regardless of technical feasibility, discovery context, or perceived justification. Violation of any prohibition below constitutes a material breach of this Agreement and may result in immediate engagement termination, legal action, and regulatory notification.</w:t>
      </w:r>
    </w:p>
    <w:p>
      <w:pPr>
        <w:pStyle w:val="ListBullet"/>
        <w:spacing w:after="40"/>
      </w:pPr>
      <w:r>
        <w:rPr>
          <w:rFonts w:ascii="Arial" w:hAnsi="Arial"/>
          <w:sz w:val="20"/>
        </w:rPr>
        <w:t>Accessing, copying, modifying, or exfiltrating actual customer financial data, PII, or account records</w:t>
      </w:r>
    </w:p>
    <w:p>
      <w:pPr>
        <w:pStyle w:val="ListBullet"/>
        <w:spacing w:after="40"/>
      </w:pPr>
      <w:r>
        <w:rPr>
          <w:rFonts w:ascii="Arial" w:hAnsi="Arial"/>
          <w:sz w:val="20"/>
        </w:rPr>
        <w:t>Executing any financial transaction, transfer, or account modification on any system</w:t>
      </w:r>
    </w:p>
    <w:p>
      <w:pPr>
        <w:pStyle w:val="ListBullet"/>
        <w:spacing w:after="40"/>
      </w:pPr>
      <w:r>
        <w:rPr>
          <w:rFonts w:ascii="Arial" w:hAnsi="Arial"/>
          <w:sz w:val="20"/>
        </w:rPr>
        <w:t>Encrypting, destroying, corrupting, or rendering inaccessible any Client data or system</w:t>
      </w:r>
    </w:p>
    <w:p>
      <w:pPr>
        <w:pStyle w:val="ListBullet"/>
        <w:spacing w:after="40"/>
      </w:pPr>
      <w:r>
        <w:rPr>
          <w:rFonts w:ascii="Arial" w:hAnsi="Arial"/>
          <w:sz w:val="20"/>
        </w:rPr>
        <w:t>Installing persistent backdoors or remote access tools on production systems without explicit written authorization</w:t>
      </w:r>
    </w:p>
    <w:p>
      <w:pPr>
        <w:pStyle w:val="ListBullet"/>
        <w:spacing w:after="40"/>
      </w:pPr>
      <w:r>
        <w:rPr>
          <w:rFonts w:ascii="Arial" w:hAnsi="Arial"/>
          <w:sz w:val="20"/>
        </w:rPr>
        <w:t>Deleting, altering, or tampering with system logs or audit trails</w:t>
      </w:r>
    </w:p>
    <w:p>
      <w:pPr>
        <w:pStyle w:val="ListBullet"/>
        <w:spacing w:after="40"/>
      </w:pPr>
      <w:r>
        <w:rPr>
          <w:rFonts w:ascii="Arial" w:hAnsi="Arial"/>
          <w:sz w:val="20"/>
        </w:rPr>
        <w:t>Exploiting zero-day vulnerabilities (undisclosed vulnerabilities must be reported, not exploited)</w:t>
      </w:r>
    </w:p>
    <w:p>
      <w:pPr>
        <w:pStyle w:val="ListBullet"/>
        <w:spacing w:after="40"/>
      </w:pPr>
      <w:r>
        <w:rPr>
          <w:rFonts w:ascii="Arial" w:hAnsi="Arial"/>
          <w:sz w:val="20"/>
        </w:rPr>
        <w:t>Targeting Client customers, vendors, regulators, or any individual not employed by the Client</w:t>
      </w:r>
    </w:p>
    <w:p>
      <w:pPr>
        <w:pStyle w:val="ListBullet"/>
        <w:spacing w:after="40"/>
      </w:pPr>
      <w:r>
        <w:rPr>
          <w:rFonts w:ascii="Arial" w:hAnsi="Arial"/>
          <w:sz w:val="20"/>
        </w:rPr>
        <w:t>Physical property damage, forced entry, or physical confrontation with any person</w:t>
      </w:r>
    </w:p>
    <w:p>
      <w:pPr>
        <w:pStyle w:val="ListBullet"/>
        <w:spacing w:after="40"/>
      </w:pPr>
      <w:r>
        <w:rPr>
          <w:rFonts w:ascii="Arial" w:hAnsi="Arial"/>
          <w:sz w:val="20"/>
        </w:rPr>
        <w:t>Continuing testing after a stop-work order has been issued</w:t>
      </w:r>
    </w:p>
    <w:p>
      <w:pPr>
        <w:pStyle w:val="ListBullet"/>
        <w:spacing w:after="40"/>
      </w:pPr>
      <w:r>
        <w:rPr>
          <w:rFonts w:ascii="Arial" w:hAnsi="Arial"/>
          <w:sz w:val="20"/>
        </w:rPr>
        <w:t>Testing from any source IP not listed in the SOW without prior written approval</w:t>
      </w:r>
    </w:p>
    <w:p>
      <w:pPr>
        <w:pStyle w:val="ListBullet"/>
        <w:spacing w:after="40"/>
      </w:pPr>
      <w:r>
        <w:rPr>
          <w:rFonts w:ascii="Arial" w:hAnsi="Arial"/>
          <w:sz w:val="20"/>
        </w:rPr>
        <w:t>Disclosing, publishing, or sharing any engagement findings with any third party without written Client authorization</w:t>
      </w:r>
    </w:p>
    <w:p>
      <w:pPr>
        <w:spacing w:before="240" w:after="80"/>
        <w:jc w:val="left"/>
        <w:pBdr>
          <w:bottom w:val="single" w:sz="8" w:space="1" w:color="2E75B6"/>
        </w:pBdr>
      </w:pPr>
      <w:r>
        <w:rPr>
          <w:rFonts w:ascii="Arial" w:hAnsi="Arial"/>
          <w:b/>
          <w:color w:val="1A1A2E"/>
          <w:sz w:val="26"/>
        </w:rPr>
        <w:t>5. Evidence Collection and Handling</w:t>
      </w:r>
    </w:p>
    <w:p>
      <w:pPr>
        <w:spacing w:before="240" w:after="80"/>
        <w:jc w:val="left"/>
        <w:pBdr>
          <w:bottom w:val="single" w:sz="4" w:space="1" w:color="2E75B6"/>
        </w:pBdr>
      </w:pPr>
      <w:r>
        <w:rPr>
          <w:rFonts w:ascii="Arial" w:hAnsi="Arial"/>
          <w:b/>
          <w:color w:val="1A1A2E"/>
          <w:sz w:val="22"/>
        </w:rPr>
        <w:t>5.1 Required Evidence Standards</w:t>
      </w:r>
    </w:p>
    <w:p>
      <w:pPr>
        <w:pStyle w:val="ListBullet"/>
        <w:spacing w:after="40"/>
      </w:pPr>
      <w:r>
        <w:rPr>
          <w:rFonts w:ascii="Arial" w:hAnsi="Arial"/>
          <w:sz w:val="20"/>
        </w:rPr>
        <w:t>Screenshots must include timestamp, hostname or IP of the target system, and the tester's workstation identifier.</w:t>
      </w:r>
    </w:p>
    <w:p>
      <w:pPr>
        <w:pStyle w:val="ListBullet"/>
        <w:spacing w:after="40"/>
      </w:pPr>
      <w:r>
        <w:rPr>
          <w:rFonts w:ascii="Arial" w:hAnsi="Arial"/>
          <w:sz w:val="20"/>
        </w:rPr>
        <w:t>Command-line output must be captured in full — truncated output is not acceptable as sole evidence.</w:t>
      </w:r>
    </w:p>
    <w:p>
      <w:pPr>
        <w:pStyle w:val="ListBullet"/>
        <w:spacing w:after="40"/>
      </w:pPr>
      <w:r>
        <w:rPr>
          <w:rFonts w:ascii="Arial" w:hAnsi="Arial"/>
          <w:sz w:val="20"/>
        </w:rPr>
        <w:t>Tool output logs must be saved in their native format in addition to any screenshots.</w:t>
      </w:r>
    </w:p>
    <w:p>
      <w:pPr>
        <w:pStyle w:val="ListBullet"/>
        <w:spacing w:after="40"/>
      </w:pPr>
      <w:r>
        <w:rPr>
          <w:rFonts w:ascii="Arial" w:hAnsi="Arial"/>
          <w:sz w:val="20"/>
        </w:rPr>
        <w:t>For exploitation findings: evidence must demonstrate the complete attack chain from initial access through the impact demonstrated.</w:t>
      </w:r>
    </w:p>
    <w:p>
      <w:pPr>
        <w:pStyle w:val="ListBullet"/>
        <w:spacing w:after="40"/>
      </w:pPr>
      <w:r>
        <w:rPr>
          <w:rFonts w:ascii="Arial" w:hAnsi="Arial"/>
          <w:sz w:val="20"/>
        </w:rPr>
        <w:t>All evidence files must be named with the format: [EngagementID]-[FindingID]-[EvidenceType]-[Sequence].</w:t>
      </w:r>
    </w:p>
    <w:p>
      <w:pPr>
        <w:spacing w:before="240" w:after="80"/>
        <w:jc w:val="left"/>
        <w:pBdr>
          <w:bottom w:val="single" w:sz="4" w:space="1" w:color="2E75B6"/>
        </w:pBdr>
      </w:pPr>
      <w:r>
        <w:rPr>
          <w:rFonts w:ascii="Arial" w:hAnsi="Arial"/>
          <w:b/>
          <w:color w:val="1A1A2E"/>
          <w:sz w:val="22"/>
        </w:rPr>
        <w:t>5.2 Evidence Storage and Security</w:t>
      </w:r>
    </w:p>
    <w:p>
      <w:pPr>
        <w:pStyle w:val="ListBullet"/>
        <w:spacing w:after="40"/>
      </w:pPr>
      <w:r>
        <w:rPr>
          <w:rFonts w:ascii="Arial" w:hAnsi="Arial"/>
          <w:sz w:val="20"/>
        </w:rPr>
        <w:t>All evidence stored on Testing Team-controlled, encrypted systems (AES-256) throughout the engagement.</w:t>
      </w:r>
    </w:p>
    <w:p>
      <w:pPr>
        <w:pStyle w:val="ListBullet"/>
        <w:spacing w:after="40"/>
      </w:pPr>
      <w:r>
        <w:rPr>
          <w:rFonts w:ascii="Arial" w:hAnsi="Arial"/>
          <w:sz w:val="20"/>
        </w:rPr>
        <w:t>No evidence stored on personal devices, cloud consumer storage, or any Client-operated systems.</w:t>
      </w:r>
    </w:p>
    <w:p>
      <w:pPr>
        <w:pStyle w:val="ListBullet"/>
        <w:spacing w:after="40"/>
      </w:pPr>
      <w:r>
        <w:rPr>
          <w:rFonts w:ascii="Arial" w:hAnsi="Arial"/>
          <w:sz w:val="20"/>
        </w:rPr>
        <w:t>Evidence transferred to Client via secure channel upon final report delivery.</w:t>
      </w:r>
    </w:p>
    <w:p>
      <w:pPr>
        <w:pStyle w:val="ListBullet"/>
        <w:spacing w:after="40"/>
      </w:pPr>
      <w:r>
        <w:rPr>
          <w:rFonts w:ascii="Arial" w:hAnsi="Arial"/>
          <w:sz w:val="20"/>
        </w:rPr>
        <w:t>Testing Team evidence copies securely deleted within 120 days of final report delivery. Written deletion confirmation provided to Client.</w:t>
      </w:r>
    </w:p>
    <w:p>
      <w:pPr>
        <w:spacing w:before="240" w:after="80"/>
        <w:jc w:val="left"/>
        <w:pBdr>
          <w:bottom w:val="single" w:sz="8" w:space="1" w:color="2E75B6"/>
        </w:pBdr>
      </w:pPr>
      <w:r>
        <w:rPr>
          <w:rFonts w:ascii="Arial" w:hAnsi="Arial"/>
          <w:b/>
          <w:color w:val="1A1A2E"/>
          <w:sz w:val="26"/>
        </w:rPr>
        <w:t>Appendix A. Framework References</w:t>
      </w:r>
    </w:p>
    <w:p>
      <w:pPr>
        <w:spacing w:after="80"/>
      </w:pPr>
      <w:r>
        <w:rPr>
          <w:rFonts w:ascii="Arial" w:hAnsi="Arial"/>
          <w:b w:val="0"/>
          <w:i w:val="0"/>
          <w:sz w:val="20"/>
        </w:rPr>
        <w:t>This document was produced in alignment with the following industry-standard frameworks and references. Use of these frameworks ensures the engagement follows recognized, defensible methodology.</w:t>
      </w:r>
    </w:p>
    <w:tbl>
      <w:tblPr>
        <w:tblStyle w:val="TableGrid"/>
        <w:tblW w:type="auto" w:w="0"/>
        <w:jc w:val="left"/>
        <w:tblLook w:firstColumn="1" w:firstRow="1" w:lastColumn="0" w:lastRow="0" w:noHBand="0" w:noVBand="1" w:val="04A0"/>
      </w:tblPr>
      <w:tblGrid>
        <w:gridCol w:w="3120"/>
        <w:gridCol w:w="3120"/>
        <w:gridCol w:w="3120"/>
      </w:tblGrid>
      <w:tr>
        <w:trPr>
          <w:trHeight w:val="397"/>
        </w:trPr>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Framework</w:t>
            </w:r>
          </w:p>
        </w:tc>
        <w:tc>
          <w:tcPr>
            <w:tcW w:type="dxa" w:w="288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Reference</w:t>
            </w:r>
          </w:p>
        </w:tc>
        <w:tc>
          <w:tcPr>
            <w:tcW w:type="dxa" w:w="50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Applicability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MITRE ATT&amp;CK Enterprise v15</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https://attack.mitre.org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Technique taxonomy and tactic/technique IDs used throughout the authorization matrix. ATT&amp;CK is maintained by MITRE Corporation and is the de facto standard for adversary behavior classification.</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NIST SP 800-115</w:t>
            </w:r>
          </w:p>
        </w:tc>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https://csrc.nist.gov/publications/detail/sp/800-115/final</w:t>
            </w:r>
          </w:p>
        </w:tc>
        <w:tc>
          <w:tcPr>
            <w:tcW w:type="dxa" w:w="50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Technical Guide to Information Security Testing and Assessment. Published by the National Institute of Standards and Technology. Defines testing phases (Planning, Discovery, Attack, Reporting) referenced in the technique matrix.</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PTES — Penetration Testing Execution Standard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http://www.pentest-standard.org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Community standard defining pre-engagement, intelligence gathering, threat modeling, vulnerability analysis, exploitation, post-exploitation, and reporting phases.</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OWASP Testing Guide v4.2</w:t>
            </w:r>
          </w:p>
        </w:tc>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https://owasp.org/www-project-web-security-testing-guide/</w:t>
            </w:r>
          </w:p>
        </w:tc>
        <w:tc>
          <w:tcPr>
            <w:tcW w:type="dxa" w:w="50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Open Web Application Security Project testing methodology. Referenced for web application and API testing techniques.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CVSS v3.1</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https://www.first.org/cvss/</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Common Vulnerability Scoring System. Findings in the final report will be scored using CVSS v3.1 Base Scores. Published by FIRST (Forum of Incident Response and Security Teams).</w:t>
            </w:r>
          </w:p>
        </w:tc>
      </w:tr>
      <w:tr>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CVE / NVD</w:t>
            </w:r>
          </w:p>
        </w:tc>
        <w:tc>
          <w:tcPr>
            <w:tcW w:type="dxa" w:w="288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https://nvd.nist.gov</w:t>
            </w:r>
          </w:p>
        </w:tc>
        <w:tc>
          <w:tcPr>
            <w:tcW w:type="dxa" w:w="5040"/>
            <w:shd w:val="clear" w:color="auto" w:fill="F2F2F2"/>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Known vulnerabilities referenced in findings will be cited by CVE identifier where applicable. The National Vulnerability Database is maintained by NIST.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CWE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https://cwe.mitre.org</w:t>
            </w:r>
          </w:p>
        </w:tc>
        <w:tc>
          <w:tcPr>
            <w:tcW w:type="dxa" w:w="50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Common Weakness Enumeration. Root-cause weakness classifications for findings will reference CWE IDs where applicable.</w:t>
            </w:r>
          </w:p>
        </w:tc>
      </w:tr>
    </w:tbl>
    <w:p/>
    <w:p>
      <w:pPr>
        <w:spacing w:before="240" w:after="80"/>
        <w:jc w:val="left"/>
        <w:pBdr>
          <w:bottom w:val="single" w:sz="8" w:space="1" w:color="2E75B6"/>
        </w:pBdr>
      </w:pPr>
      <w:r>
        <w:rPr>
          <w:rFonts w:ascii="Arial" w:hAnsi="Arial"/>
          <w:b/>
          <w:color w:val="1A1A2E"/>
          <w:sz w:val="26"/>
        </w:rPr>
        <w:t>7. Scope of Authorization — Safe Harbor</w:t>
      </w:r>
    </w:p>
    <w:p>
      <w:pPr>
        <w:spacing w:after="80"/>
      </w:pPr>
      <w:r>
        <w:rPr>
          <w:rFonts w:ascii="Arial" w:hAnsi="Arial"/>
          <w:b w:val="0"/>
          <w:i w:val="0"/>
          <w:sz w:val="20"/>
        </w:rPr>
        <w:t>Activities conducted by Testing Team personnel that satisfy ALL of the following conditions constitute authorized access within the meaning of this Agreement and applicable law. This safe harbor is the primary legal protection for Testing Team personnel and should be read in conjunction with the indemnification provisions of the Scope of Work:</w:t>
      </w:r>
    </w:p>
    <w:p>
      <w:pPr>
        <w:pStyle w:val="ListBullet"/>
        <w:spacing w:after="40"/>
      </w:pPr>
      <w:r>
        <w:rPr>
          <w:rFonts w:ascii="Arial" w:hAnsi="Arial"/>
          <w:sz w:val="20"/>
        </w:rPr>
        <w:t>The activity targets only assets, systems, networks, or personnel explicitly listed in Section 3 of the Scope of Work (in-scope assets, physical locations, or social engineering targets);</w:t>
      </w:r>
    </w:p>
    <w:p>
      <w:pPr>
        <w:pStyle w:val="ListBullet"/>
        <w:spacing w:after="40"/>
      </w:pPr>
      <w:r>
        <w:rPr>
          <w:rFonts w:ascii="Arial" w:hAnsi="Arial"/>
          <w:sz w:val="20"/>
        </w:rPr>
        <w:t>The activity is conducted during an authorized testing window as defined in Section 1.3 of the Scope of Work (or within a defined maintenance window for activities requiring one);</w:t>
      </w:r>
    </w:p>
    <w:p>
      <w:pPr>
        <w:pStyle w:val="ListBullet"/>
        <w:spacing w:after="40"/>
      </w:pPr>
      <w:r>
        <w:rPr>
          <w:rFonts w:ascii="Arial" w:hAnsi="Arial"/>
          <w:sz w:val="20"/>
        </w:rPr>
        <w:t>The activity originates from a source IP address listed in Section 2.2 of the Scope of Work for network-based activities, or is conducted in person at an authorized physical location for physical/social engineering activities;</w:t>
      </w:r>
    </w:p>
    <w:p>
      <w:pPr>
        <w:pStyle w:val="ListBullet"/>
        <w:spacing w:after="40"/>
      </w:pPr>
      <w:r>
        <w:rPr>
          <w:rFonts w:ascii="Arial" w:hAnsi="Arial"/>
          <w:sz w:val="20"/>
        </w:rPr>
        <w:t>The activity is not listed among the Prohibited Actions in Section 3 of this document;</w:t>
      </w:r>
    </w:p>
    <w:p>
      <w:pPr>
        <w:pStyle w:val="ListBullet"/>
        <w:spacing w:after="40"/>
      </w:pPr>
      <w:r>
        <w:rPr>
          <w:rFonts w:ascii="Arial" w:hAnsi="Arial"/>
          <w:sz w:val="20"/>
        </w:rPr>
        <w:t>For CONDITIONAL techniques: the specified approval workflow has been completed and documented prior to execution of the technique.</w:t>
      </w:r>
    </w:p>
    <w:p>
      <w:pPr>
        <w:spacing w:after="80"/>
      </w:pPr>
      <w:r>
        <w:rPr>
          <w:rFonts w:ascii="Arial" w:hAnsi="Arial"/>
          <w:b w:val="0"/>
          <w:i w:val="0"/>
          <w:sz w:val="20"/>
        </w:rPr>
        <w:t>Activities falling outside any one of the above conditions are NOT authorized under this Agreement and do not benefit from the safe harbor or indemnification provisions of the Scope of Work. The Testing Team is solely responsible for any activities conducted outside the defined scope.</w:t>
      </w:r>
    </w:p>
    <w:p>
      <w:pPr>
        <w:spacing w:before="240" w:after="80"/>
        <w:jc w:val="left"/>
        <w:pBdr>
          <w:bottom w:val="single" w:sz="8" w:space="1" w:color="2E75B6"/>
        </w:pBdr>
      </w:pPr>
      <w:r>
        <w:rPr>
          <w:rFonts w:ascii="Arial" w:hAnsi="Arial"/>
          <w:b/>
          <w:color w:val="1A1A2E"/>
          <w:sz w:val="26"/>
        </w:rPr>
        <w:t>8. Immediate Suspension and Incident Response</w:t>
      </w:r>
    </w:p>
    <w:p>
      <w:pPr>
        <w:spacing w:after="80"/>
      </w:pPr>
      <w:r>
        <w:rPr>
          <w:rFonts w:ascii="Arial" w:hAnsi="Arial"/>
          <w:b w:val="0"/>
          <w:i w:val="0"/>
          <w:sz w:val="20"/>
        </w:rPr>
        <w:t>The following situations require IMMEDIATE suspension of all testing activity and notification to the Client emergency contact. Time is critical in these situations — do not delay to complete a test, document a finding, or clean up tool artifacts before suspending:</w:t>
      </w:r>
    </w:p>
    <w:p>
      <w:pPr>
        <w:pStyle w:val="ListBullet"/>
        <w:spacing w:after="40"/>
      </w:pPr>
      <w:r>
        <w:rPr>
          <w:rFonts w:ascii="Arial" w:hAnsi="Arial"/>
          <w:sz w:val="20"/>
        </w:rPr>
        <w:t>Any Testing Team personnel is contacted, challenged, detained, or threatened by law enforcement, security personnel, or any other party — STOP immediately, present the authorization letter, provide the Client emergency contact number, and request that the detaining party contact the Client CISO directly;</w:t>
      </w:r>
    </w:p>
    <w:p>
      <w:pPr>
        <w:pStyle w:val="ListBullet"/>
        <w:spacing w:after="40"/>
      </w:pPr>
      <w:r>
        <w:rPr>
          <w:rFonts w:ascii="Arial" w:hAnsi="Arial"/>
          <w:sz w:val="20"/>
        </w:rPr>
        <w:t>Any testing activity causes unintended impact to production system availability, data integrity, or business operations;</w:t>
      </w:r>
    </w:p>
    <w:p>
      <w:pPr>
        <w:pStyle w:val="ListBullet"/>
        <w:spacing w:after="40"/>
      </w:pPr>
      <w:r>
        <w:rPr>
          <w:rFonts w:ascii="Arial" w:hAnsi="Arial"/>
          <w:sz w:val="20"/>
        </w:rPr>
        <w:t>The Testing Team gains access to any out-of-scope system, network, or data — even if access was obtained through an in-scope system;</w:t>
      </w:r>
    </w:p>
    <w:p>
      <w:pPr>
        <w:pStyle w:val="ListBullet"/>
        <w:spacing w:after="40"/>
      </w:pPr>
      <w:r>
        <w:rPr>
          <w:rFonts w:ascii="Arial" w:hAnsi="Arial"/>
          <w:sz w:val="20"/>
        </w:rPr>
        <w:t>Evidence of an active breach, ongoing criminal activity, or compromise by a third party is discovered on any Client system;</w:t>
      </w:r>
    </w:p>
    <w:p>
      <w:pPr>
        <w:pStyle w:val="ListBullet"/>
        <w:spacing w:after="40"/>
      </w:pPr>
      <w:r>
        <w:rPr>
          <w:rFonts w:ascii="Arial" w:hAnsi="Arial"/>
          <w:sz w:val="20"/>
        </w:rPr>
        <w:t>The Client issues a stop-work order through any channel.</w:t>
      </w:r>
    </w:p>
    <w:p>
      <w:pPr>
        <w:spacing w:after="80"/>
      </w:pPr>
      <w:r>
        <w:rPr>
          <w:rFonts w:ascii="Arial" w:hAnsi="Arial"/>
          <w:b w:val="0"/>
          <w:i w:val="0"/>
          <w:sz w:val="20"/>
        </w:rPr>
        <w:t>Testing Team personnel who are detained should: (1) remain calm and cooperative; (2) present the physical authorization letter; (3) provide the Client CISO emergency mobile number and request that law enforcement contact that number; (4) contact Testing Firm legal counsel; (5) not make substantive statements about the engagement to law enforcement without counsel present.</w:t>
      </w:r>
    </w:p>
    <w:p>
      <w:pPr>
        <w:spacing w:after="80"/>
      </w:pPr>
      <w:r>
        <w:rPr>
          <w:rFonts w:ascii="Arial" w:hAnsi="Arial"/>
          <w:b w:val="0"/>
          <w:i w:val="0"/>
          <w:sz w:val="20"/>
        </w:rPr>
        <w:t>The Testing Team shall provide a written incident report to the Client within two (2) business hours of any suspension event, describing what occurred, what systems were affected, and what actions the Testing Team took.</w:t>
      </w:r>
    </w:p>
    <w:p>
      <w:pPr>
        <w:spacing w:before="240" w:after="80"/>
        <w:jc w:val="left"/>
        <w:pBdr>
          <w:bottom w:val="single" w:sz="8" w:space="1" w:color="2E75B6"/>
        </w:pBdr>
      </w:pPr>
      <w:r>
        <w:rPr>
          <w:rFonts w:ascii="Arial" w:hAnsi="Arial"/>
          <w:b/>
          <w:color w:val="1A1A2E"/>
          <w:sz w:val="26"/>
        </w:rPr>
        <w:t>9. Signatures</w:t>
      </w:r>
    </w:p>
    <w:p>
      <w:pPr>
        <w:spacing w:after="80"/>
      </w:pPr>
      <w:r>
        <w:rPr>
          <w:rFonts w:ascii="Arial" w:hAnsi="Arial"/>
          <w:b w:val="0"/>
          <w:i w:val="0"/>
          <w:sz w:val="20"/>
        </w:rPr>
        <w:t>By signing below, both parties acknowledge that they have read, understood, and agree to operate within the constraints defined in this Rules of Engagement document for the duration of the engagement.</w:t>
      </w:r>
    </w:p>
    <w:p>
      <w:pPr>
        <w:spacing w:after="80"/>
      </w:pPr>
      <w:r>
        <w:rPr>
          <w:rFonts w:ascii="Arial" w:hAnsi="Arial"/>
          <w:b/>
          <w:i w:val="0"/>
          <w:sz w:val="20"/>
        </w:rPr>
        <w:t>THESE RULES ARE BINDING ON ALL TESTING TEAM PERSONNEL. THE ENGAGEMENT LEAD IS RESPONSIBLE FOR ENSURING ALL TEAM MEMBERS HAVE READ AND UNDERSTOOD THIS DOCUMENT BEFORE CONDUCTING ANY TESTING ACTIVITY.</w:t>
      </w:r>
    </w:p>
    <w:p/>
    <w:p>
      <w:pPr>
        <w:spacing w:after="80"/>
      </w:pPr>
      <w:r>
        <w:rPr>
          <w:rFonts w:ascii="Arial" w:hAnsi="Arial"/>
          <w:b/>
          <w:i w:val="0"/>
          <w:sz w:val="20"/>
        </w:rPr>
        <w:t>For Strange Home Networks</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CISO (Authorizing Executive)</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Primary Technical Contact</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p/>
    <w:p>
      <w:pPr>
        <w:spacing w:after="80"/>
      </w:pPr>
      <w:r>
        <w:rPr>
          <w:rFonts w:ascii="Arial" w:hAnsi="Arial"/>
          <w:b/>
          <w:i w:val="0"/>
          <w:sz w:val="20"/>
        </w:rPr>
        <w:t>For Strange Integrity Systems</w:t>
      </w:r>
    </w:p>
    <w:tbl>
      <w:tblPr>
        <w:tblStyle w:val="TableGrid"/>
        <w:tblW w:type="auto" w:w="0"/>
        <w:tblLook w:firstColumn="1" w:firstRow="1" w:lastColumn="0" w:lastRow="0" w:noHBand="0" w:noVBand="1" w:val="04A0"/>
      </w:tblPr>
      <w:tblGrid>
        <w:gridCol w:w="4680"/>
        <w:gridCol w:w="4680"/>
      </w:tblGrid>
      <w:tr>
        <w:trPr>
          <w:trHeight w:val="454"/>
        </w:trPr>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Engagement Lead</w:t>
            </w:r>
          </w:p>
        </w:tc>
        <w:tc>
          <w:tcPr>
            <w:tcW w:type="dxa" w:w="5040"/>
            <w:shd w:val="clear" w:color="auto" w:fill="F2F2F2"/>
            <w:tcBorders>
              <w:top w:val="single" w:sz="4" w:space="0" w:color="CCCCCC"/>
              <w:left w:val="single" w:sz="4" w:space="0" w:color="CCCCCC"/>
              <w:bottom w:val="single" w:sz="4" w:space="0" w:color="CCCCCC"/>
              <w:right w:val="single" w:sz="4" w:space="0" w:color="CCCCCC"/>
            </w:tcBorders>
          </w:tcPr>
          <w:p>
            <w:r>
              <w:rPr>
                <w:rFonts w:ascii="Arial" w:hAnsi="Arial"/>
                <w:b/>
                <w:color w:val="1F4E79"/>
                <w:sz w:val="18"/>
              </w:rPr>
              <w:t>Signature — Testing Firm Principal / Director</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Printed Name / Title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t>Date</w:t>
            </w:r>
          </w:p>
        </w:tc>
      </w:tr>
      <w:tr>
        <w:trPr>
          <w:trHeight w:val="567"/>
        </w:trPr>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val="0"/>
                <w:sz w:val="18"/>
              </w:rPr>
            </w:r>
          </w:p>
        </w:tc>
      </w:tr>
    </w:tbl>
    <w:p/>
    <w:p>
      <w:pPr>
        <w:spacing w:after="80"/>
      </w:pPr>
      <w:r>
        <w:rPr>
          <w:rFonts w:ascii="Arial" w:hAnsi="Arial"/>
          <w:b w:val="0"/>
          <w:i w:val="0"/>
          <w:sz w:val="20"/>
        </w:rPr>
        <w:t>Each testing team member listed below must initial to confirm they have read and agree to these Rules of Engagement:</w:t>
      </w:r>
    </w:p>
    <w:tbl>
      <w:tblPr>
        <w:tblStyle w:val="TableGrid"/>
        <w:tblW w:type="auto" w:w="0"/>
        <w:jc w:val="left"/>
        <w:tblLook w:firstColumn="1" w:firstRow="1" w:lastColumn="0" w:lastRow="0" w:noHBand="0" w:noVBand="1" w:val="04A0"/>
      </w:tblPr>
      <w:tblGrid>
        <w:gridCol w:w="2340"/>
        <w:gridCol w:w="2340"/>
        <w:gridCol w:w="2340"/>
        <w:gridCol w:w="2340"/>
      </w:tblGrid>
      <w:tr>
        <w:trPr>
          <w:trHeight w:val="397"/>
        </w:trPr>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Name</w:t>
            </w:r>
          </w:p>
        </w:tc>
        <w:tc>
          <w:tcPr>
            <w:tcW w:type="dxa" w:w="360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Role</w:t>
            </w:r>
          </w:p>
        </w:tc>
        <w:tc>
          <w:tcPr>
            <w:tcW w:type="dxa" w:w="216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Initial</w:t>
            </w:r>
          </w:p>
        </w:tc>
        <w:tc>
          <w:tcPr>
            <w:tcW w:type="dxa" w:w="1440"/>
            <w:shd w:val="clear" w:color="auto" w:fill="1F4E79"/>
            <w:tcBorders>
              <w:top w:val="single" w:sz="4" w:space="0" w:color="1F4E79"/>
              <w:left w:val="single" w:sz="4" w:space="0" w:color="1F4E79"/>
              <w:bottom w:val="single" w:sz="4" w:space="0" w:color="1F4E79"/>
              <w:right w:val="single" w:sz="4" w:space="0" w:color="1F4E79"/>
            </w:tcBorders>
            <w:vAlign w:val="center"/>
          </w:tcPr>
          <w:p>
            <w:pPr>
              <w:jc w:val="left"/>
            </w:pPr>
            <w:r>
              <w:rPr>
                <w:rFonts w:ascii="Arial" w:hAnsi="Arial"/>
                <w:b/>
                <w:color w:val="FFFFFF"/>
                <w:sz w:val="18"/>
              </w:rPr>
              <w:t>Date</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Ximian P Black</w:t>
            </w:r>
          </w:p>
        </w:tc>
        <w:tc>
          <w:tcPr>
            <w:tcW w:type="dxa" w:w="360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t>Engagement Lead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c>
          <w:tcPr>
            <w:tcW w:type="dxa" w:w="1440"/>
            <w:shd w:val="clear" w:color="auto" w:fill="FFFFFF"/>
            <w:tcBorders>
              <w:top w:val="single" w:sz="4" w:space="0" w:color="CCCCCC"/>
              <w:left w:val="single" w:sz="4" w:space="0" w:color="CCCCCC"/>
              <w:bottom w:val="single" w:sz="4" w:space="0" w:color="CCCCCC"/>
              <w:right w:val="single" w:sz="4" w:space="0" w:color="CCCCCC"/>
            </w:tcBorders>
            <w:vAlign w:val="top"/>
          </w:tcPr>
          <w:p>
            <w:pPr>
              <w:jc w:val="left"/>
            </w:pPr>
            <w:r>
              <w:rPr>
                <w:rFonts w:ascii="Arial" w:hAnsi="Arial"/>
                <w:sz w:val="18"/>
              </w:rPr>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tabs>
        <w:tab w:val="center" w:pos="4680"/>
        <w:tab w:val="right" w:pos="9360"/>
      </w:tabs>
    </w:pPr>
    <w:r>
      <w:rPr>
        <w:rFonts w:ascii="Arial" w:hAnsi="Arial"/>
        <w:color w:val="7E8A96"/>
        <w:sz w:val="16"/>
      </w:rPr>
      <w:t>03172026-SIS-001</w:t>
    </w:r>
    <w:r>
      <w:tab/>
    </w:r>
    <w:r>
      <w:rPr>
        <w:rFonts w:ascii="Arial" w:hAnsi="Arial"/>
        <w:color w:val="7E8A96"/>
        <w:sz w:val="16"/>
      </w:rPr>
      <w:fldChar w:fldCharType="begin"/>
      <w:instrText xml:space="preserve">PAGE</w:instrText>
      <w:fldChar w:fldCharType="end"/>
    </w:r>
    <w:r>
      <w:rPr>
        <w:sz w:val="16"/>
      </w:rPr>
      <w:t xml:space="preserve"> of </w:t>
    </w:r>
    <w:r>
      <w:rPr>
        <w:rFonts w:ascii="Arial" w:hAnsi="Arial"/>
        <w:color w:val="7E8A96"/>
        <w:sz w:val="16"/>
      </w:rPr>
      <w:fldChar w:fldCharType="begin"/>
      <w:instrText xml:space="preserve">NUMPAGES</w:instrText>
      <w:fldChar w:fldCharType="end"/>
    </w:r>
    <w:r>
      <w:tab/>
    </w:r>
    <w:r>
      <w:rPr>
        <w:rFonts w:ascii="Arial" w:hAnsi="Arial"/>
        <w:color w:val="7E8A96"/>
        <w:sz w:val="16"/>
      </w:rPr>
      <w:t>vSIS-v01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2E75B6"/>
      </w:pBdr>
    </w:pPr>
    <w:r>
      <w:rPr>
        <w:rFonts w:ascii="Arial" w:hAnsi="Arial"/>
        <w:b/>
        <w:color w:val="C00000"/>
        <w:sz w:val="16"/>
      </w:rPr>
      <w:t>★  CONFIDENTIAL — RULES OF ENGAGEMENT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