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and retained CT partial results.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Event dispatch failure handling and dead-letter states are incomplete. Configured request-rate and concurrency limits are not yet enforced. SQLite schema migration and CI are absent. Tests remain a mixture of assertions and older print-based scripts. Discovery breadth is intentionally limited. Gate 1 is functionally complete for the current DNS, HTTP, and CT paths, with follow-up hardening tracked in `architecture.md`. Stage output is now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event failure recovery, rate limiting, request accounting, trusted-service networking, database hardening, CI, and formal evaluation. Add external-tool adapters only after these controls are complete.</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