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Normal"/>
      </ns0:pPr>
      <ns0:r>
        <ns0:t>35a. Discovered-host resolution was migrated from thread-backed system `getaddrinfo` to an asynchronous DNS resolver with explicit A/AAAA handling, caching, partial-family retention, bounded concurrency, and reason-specific failure reporting. This addresses resolver saturation observed in live runs and improves measurement correctness.</ns0:t>
      </ns0:r>
    </ns0:p>
    <ns0:p xmlns:ns0="http://schemas.openxmlformats.org/wordprocessingml/2006/main">
      <ns0:pPr>
        <ns0:pStyle ns0:val="Normal"/>
      </ns0:pPr>
      <ns0:r>
        <ns0:t>35b. A subsequent live run resolved 105 discovered names and separated 337 NXDOMAIN failures from 58 timeouts. It also identified redundant HTTP-stage DNS resolution; authorised addresses are now handed directly to the scoped transport for the initial connection, while redirects remain independently resolved and authorised.</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ListNumber"/>
      </ns0:pPr>
      <ns0:r>
        <ns0:t>Technology reporting uses a compact endpoint-aware table and structured CSV/JSON export. More specific signature categories override generic server labels in new observations, while historical evidence remains immutable for reproducibility.</ns0:t>
      </ns0:r>
    </ns0:p>
    <ns0:p xmlns:ns0="http://schemas.openxmlformats.org/wordprocessingml/2006/main">
      <ns0:pPr>
        <ns0:pStyle ns0:val="ListNumber"/>
      </ns0:pPr>
      <ns0:r>
        <ns0:t>A persisted scan-overview command separates verified surface, stored records, categorized failures, per-source ownership, and durable request metrics without requiring SQL. Stage timing persistence remains follow-up work rather than being inferred retrospectively.</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