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and adapter enforcement, then add schema migration, CI, and formal repeated evaluation. Add external-tool adapters only through the controlled execution and networking contracts.</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