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Normal"/>
      </ns0:pPr>
      <ns0:r>
        <ns0:t>9. One scan-wide request limiter now enforces concurrency, pacing, and total budget at the HTTP transport boundary.</ns0:t>
      </ns0:r>
    </ns0:p>
    <ns0:p xmlns:ns0="http://schemas.openxmlformats.org/wordprocessingml/2006/main">
      <ns0:pPr>
        <ns0:pStyle ns0:val="ListNumber"/>
      </ns0:pPr>
      <ns0:r>
        <ns0:t>Scope validation does not consume request budget; each real redirect, fallback-IP, pagination, or retry attempt does.</ns0:t>
      </ns0:r>
    </ns0:p>
    <ns0:p xmlns:ns0="http://schemas.openxmlformats.org/wordprocessingml/2006/main">
      <ns0:pPr>
        <ns0:pStyle ns0:val="ListNumber"/>
      </ns0:pPr>
      <ns0:r>
        <ns0:t>Request-limit configuration and observed counters are persisted as a `request_metrics` evidence record for each scan outcome.</ns0:t>
      </ns0:r>
    </ns0:p>
    <ns0:p xmlns:ns0="http://schemas.openxmlformats.org/wordprocessingml/2006/main">
      <ns0:pPr>
        <ns0:pStyle ns0:val="ListNumber"/>
      </ns0:pPr>
      <ns0:r>
        <ns0:t>External-tool integration begins with a restricted adapter contract using shared policy services and argument arrays rather than shell command strings.</ns0:t>
      </ns0:r>
    </ns0:p>
    <ns0:p xmlns:ns0="http://schemas.openxmlformats.org/wordprocessingml/2006/main">
      <ns0:pPr>
        <ns0:pStyle ns0:val="ListNumber"/>
      </ns0:pPr>
      <ns0:r>
        <ns0:t>A controlled subprocess runner bounds executable choice, environment, runtime, output, cancellation, and process cleanup before adapter output is accepted.</ns0:t>
      </ns0:r>
    </ns0:p>
    <ns0:p xmlns:ns0="http://schemas.openxmlformats.org/wordprocessingml/2006/main">
      <ns0:pPr>
        <ns0:pStyle ns0:val="ListNumber"/>
      </ns0:pPr>
      <ns0:r>
        <ns0:t>Adapter execution details and raw output are preserved as evidence, while parsed assets pass through the existing Gate 2 policy before graph storage.</ns0:t>
      </ns0:r>
    </ns0:p>
    <ns0:p xmlns:ns0="http://schemas.openxmlformats.org/wordprocessingml/2006/main">
      <ns0:pPr>
        <ns0:pStyle ns0:val="ListNumber"/>
      </ns0:pPr>
      <ns0:r>
        <ns0:t>The native Python request limiter is not misrepresented as control over packets generated inside external tools; stronger enforcement requires tool-specific restrictions and eventual OS-level containment.</ns0:t>
      </ns0:r>
    </ns0:p>
    <ns0:p xmlns:ns0="http://schemas.openxmlformats.org/wordprocessingml/2006/main">
      <ns0:pPr>
        <ns0:pStyle ns0:val="ListNumber"/>
      </ns0:pPr>
      <ns0:r>
        <ns0:t>The first real adapter is a passive, opt-in Subfinder integration exposed as `--sub`, with fixed arguments, an isolated configuration home, controlled execution evidence, deduplication, and Gate 2 validation. An offline scheduler test validates the complete orchestration path without internet access.</ns0:t>
      </ns0:r>
    </ns0:p>
    <ns0:p xmlns:ns0="http://schemas.openxmlformats.org/wordprocessingml/2006/main">
      <ns0:pPr>
        <ns0:pStyle ns0:val="ListNumber"/>
      </ns0:pPr>
      <ns0:r>
        <ns0:t>A live adapter run exposed overlap inflation between CT and Subfinder observations. Per-source counts are retained, but total assets and relationships now use unique identifiers; enumerated hostnames are not described as live endpoints without later resolution or probing.</ns0:t>
      </ns0:r>
    </ns0:p>
    <ns0:p xmlns:ns0="http://schemas.openxmlformats.org/wordprocessingml/2006/main">
      <ns0:pPr>
        <ns0:pStyle ns0:val="ListNumber"/>
      </ns0:pPr>
      <ns0:r>
        <ns0:t>Approved Subfinder names now enter a bounded discovered-DNS stage only after pre-resolution scope authorization; reserved resolved addresses are denied before asset storage. HTTP probing of discovered names remains a separate risk-controlled phase.</ns0:t>
      </ns0:r>
    </ns0:p>
    <ns0:p xmlns:ns0="http://schemas.openxmlformats.org/wordprocessingml/2006/main">
      <ns0:pPr>
        <ns0:pStyle ns0:val="ListNumber"/>
      </ns0:pPr>
      <ns0:r>
        <ns0:t>A live large-batch run exposed timeout/retry amplification and partial-result loss in discovered DNS. Per-name timeouts, bounded concurrency, partial preservation, and compact reporting were added; the formal evaluation should measure these under controlled loads.</ns0:t>
      </ns0:r>
    </ns0:p>
    <ns0:p xmlns:ns0="http://schemas.openxmlformats.org/wordprocessingml/2006/main">
      <ns0:pPr>
        <ns0:pStyle ns0:val="ListNumber"/>
      </ns0:pPr>
      <ns0:r>
        <ns0:t>A later zero-result run was traced through execution evidence to a Subfinder process timeout rather than a genuine absence of findings. Explicit adapter-failure reporting, a bounded 120-second allowance, and source-specific stage hand-off were added.</ns0:t>
      </ns0:r>
    </ns0:p>
    <ns0:p xmlns:ns0="http://schemas.openxmlformats.org/wordprocessingml/2006/main">
      <ns0:pPr>
        <ns0:pStyle ns0:val="ListNumber"/>
      </ns0:pPr>
      <ns0:r>
        <ns0:t>Large-run reporting now separates current-scan evidence from historical stored evidence, labels native request metrics accurately, and reports discovered-DNS failures for reproducible performance analysis.</ns0:t>
      </ns0:r>
    </ns0:p>
    <ns0:p xmlns:ns0="http://schemas.openxmlformats.org/wordprocessingml/2006/main">
      <ns0:pPr>
        <ns0:pStyle ns0:val="ListNumber"/>
      </ns0:pPr>
      <ns0:r>
        <ns0:t>A first non-SQL `results` interface lists stored domains, IPs, URLs, and target-filtered failures. Exact per-scan asset views remain dependent on first-class scan-run ownership.</ns0:t>
      </ns0:r>
    </ns0:p>
    <ns0:p xmlns:ns0="http://schemas.openxmlformats.org/wordprocessingml/2006/main">
      <ns0:pPr>
        <ns0:pStyle ns0:val="ListNumber"/>
      </ns0:pPr>
      <ns0:r>
        <ns0:t>Asset target filtering uses exact-domain/subdomain boundaries; target IP views traverse stored resolution relationships rather than mixing unrelated database assets.</ns0:t>
      </ns0:r>
    </ns0:p>
    <ns0:p xmlns:ns0="http://schemas.openxmlformats.org/wordprocessingml/2006/main">
      <ns0:pPr>
        <ns0:pStyle ns0:val="ListNumber"/>
      </ns0:pPr>
      <ns0:r>
        <ns0:t>Result limiting now occurs after target matching; a discovered pagination defect previously produced inconsistent counts when filtering a global limited row set.</ns0:t>
      </ns0:r>
    </ns0:p>
    <ns0:p xmlns:ns0="http://schemas.openxmlformats.org/wordprocessingml/2006/main">
      <ns0:pPr>
        <ns0:pStyle ns0:val="ListNumber"/>
      </ns0:pPr>
      <ns0:r>
        <ns0:t>Durable scan-run identity records target, start/completion time, and outcome for new executions. Historical runs are not backfilled with guessed identities; evidence and asset ownership migration remains the next step.</ns0:t>
      </ns0:r>
    </ns0:p>
    <ns0:p xmlns:ns0="http://schemas.openxmlformats.org/wordprocessingml/2006/main">
      <ns0:pPr>
        <ns0:pStyle ns0:val="ListNumber"/>
      </ns0:pPr>
      <ns0:r>
        <ns0:t>New evidence and accepted graph relationships now retain scan-run ownership, allowing exact run and latest-run result views while preserving the deduplicated global asset graph.</ns0:t>
      </ns0:r>
    </ns0:p>
    <ns0:p xmlns:ns0="http://schemas.openxmlformats.org/wordprocessingml/2006/main">
      <ns0:pPr>
        <ns0:pStyle ns0:val="ListNumber"/>
      </ns0:pPr>
      <ns0:r>
        <ns0:t>Exact scan exports support structured JSON and spreadsheet-compatible CSV, include scan metadata and source provenance, avoid interactive result limits, and protect existing files from accidental overwrite.</ns0:t>
      </ns0:r>
    </ns0:p>
    <ns0:p xmlns:ns0="http://schemas.openxmlformats.org/wordprocessingml/2006/main">
      <ns0:pPr>
        <ns0:pStyle ns0:val="ListNumber"/>
      </ns0:pPr>
      <ns0:r>
        <ns0:t>Export detects migration-era runs that lack asset ownership and refuses misleading empty output; latest-run selection excludes unfinished executions while retaining them in the audit list.</ns0:t>
      </ns0:r>
    </ns0:p>
    <ns0:p xmlns:ns0="http://schemas.openxmlformats.org/wordprocessingml/2006/main">
      <ns0:pPr>
        <ns0:pStyle ns0:val="ListNumber"/>
      </ns0:pPr>
      <ns0:r>
        <ns0:t>A live migration validation found and corrected a scan-ownership handler defect: counters could report accepted assets before per-scan ownership persistence succeeded. Exact results and export exposed the inconsistency; ownership is now written before counters are updated, with regression coverage. The affected historical run is excluded from exact export rather than guessed or backfilled.</ns0:t>
      </ns0:r>
    </ns0:p>
    <ns0:p xmlns:ns0="http://schemas.openxmlformats.org/wordprocessingml/2006/main">
      <ns0:pPr>
        <ns0:pStyle ns0:val="ListNumber"/>
      </ns0:pPr>
      <ns0:r>
        <ns0:t>Structured export supports an evidence-backed HTTP liveness view (`--alive http`), selecting domains with a scan-owned HTTP/HTTPS endpoint observation rather than treating passive discovery as proof of availability.</ns0:t>
      </ns0:r>
    </ns0:p>
    <ns0:p xmlns:ns0="http://schemas.openxmlformats.org/wordprocessingml/2006/main">
      <ns0:pPr>
        <ns0:pStyle ns0:val="ListNumber"/>
      </ns0:pPr>
      <ns0:r>
        <ns0:t>Live export validation corrected an ownership-query assumption: HTTP liveness is derived from the scan-owned URL and `SERVES` relationship, and an empty filtered result is distinguished from an ownership-migration failure by checking the unfiltered ownership count.</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Request admissions, budget denials, failures, and peak concurrency.</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retained CT partial results, bounded request concurrency, paced admissions, and budget denial before transport contact. A preliminary SQLite concurrency run completed 50 parallel synthetic work units in approximately 0.669 seconds and produced the expected 100 nodes, 50 relationships, 50 event-log records, and 50 evidence records without observed lock errors or lost writes. This single run is engineering evidence rather than a final benchmark; the thesis evaluation must repeat the experiment several times and report mean, median, minimum, maximum, and standard deviation.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Durable event retries, dead-letter handling, recovery, and clean interruption are implemented. Request-rate, concurrency, and total-budget controls are enforced for the current HTTP and CT paths, but future adapters still require a non-bypassable controlled-network contract and richer durable request metrics. SQLite schema migration and CI are absent. Tests remain a mixture of assertions and older executable scripts. Discovery breadth is intentionally limited. Gate 1 is functionally complete for the current DNS, HTTP, and CT paths, with follow-up hardening tracked in `architecture.md`. Stage output is ordered by draining each plugin stage before the next begins; interrupted plugin execution is still rerun rather than resumed at plugin-attempt granularity.</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Gate 3 durable request accounting, adapter enforcement, and performance reporting, then add a human-friendly results/query interface, schema migration, CI, and formal repeated evaluation. Add external-tool adapters only through the controlled execution and networking contracts.</ns0:t>
      </ns0:r>
    </ns0:p>
    <ns0:p xmlns:ns0="http://schemas.openxmlformats.org/wordprocessingml/2006/main">
      <ns0:pPr>
        <ns0:pStyle ns0:val="Normal"/>
      </ns0:pPr>
      <ns0:r>
        <ns0:t>Python was retained for the academic implementation because the system is currently I/O-bound and benefits from asyncio, HTTPX, Pydantic, SQLite support, and rapid security-tool integration. Go offers stronger binary distribution and runtime efficiency, but a rewrite would not itself solve scope-policy, evidence, retry, or adapter correctness and would require complete regression revalidation. Reconsider the language only after profiling demonstrates a concrete limitation.</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Normal"/>
      </ns0:pPr>
      <ns0:r>
        <ns0:t>The intended product is a policy and evidence control plane for attack-surface discovery. It can coordinate domain, API, certificate, cloud, and future mobile-backend discovery tools while preserving provenance and preventing unverified or out-of-scope observations from becoming trusted inventory.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