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and retained CT partial results.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formal evaluation should repeat the experiment and report descriptive statistics.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Event dispatch failure handling and dead-letter states are incomplete. Configured request-rate and concurrency limits are not yet enforced. SQLite schema migration and CI are absent. Tests remain a mixture of assertions and older print-based scripts. Discovery breadth is intentionally limited. Gate 1 is functionally complete for the current DNS, HTTP, and CT paths, with follow-up hardening tracked in `architecture.md`. Stage output is now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event failure recovery, rate limiting, request accounting, trusted-service networking, database hardening, CI, and formal evaluation. Add external-tool adapters only after these controls are complete.</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