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and retained CT partial results.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Event dispatch failure handling and dead-letter states are incomplete. Configured request-rate and concurrency limits are not yet enforced. CT connectors do not yet use the shared trusted-service network policy. SQLite schema migration and CI are absent. Tests remain a mixture of assertions and older print-based scripts. Discovery breadth is intentionally limited.</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event failure recovery, rate limiting, request accounting, trusted-service networking, database hardening, CI, and formal evaluation. Add external-tool adapters only after these controls are complete.</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