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jc w:val="center"/>
        <w:rPr>
          <w:i/>
          <w:iCs/>
          <w:color w:val="002060"/>
          <w:sz w:val="36"/>
          <w:szCs w:val="36"/>
          <w:u w:val="single"/>
        </w:rPr>
      </w:pPr>
      <w:r>
        <w:rPr>
          <w:i/>
          <w:iCs/>
          <w:color w:val="002060"/>
          <w:sz w:val="36"/>
          <w:szCs w:val="36"/>
          <w:u w:val="single"/>
        </w:rPr>
        <w:t>Design and Implementation of a Scope-Controlled Reconnaissance Orchestration and Evidence Management System</w:t>
      </w:r>
    </w:p>
    <w:p/>
    <w:p>
      <w:pPr>
        <w:pStyle w:val="3"/>
      </w:pPr>
      <w:r>
        <w:t>Document Status</w:t>
      </w:r>
    </w:p>
    <w:p/>
    <w:p>
      <w:r>
        <w:t>This is a working academic draft derived from the Sh4q engineering record. Institutional details, supervisor-approved research wording, citations, final evaluation data, screenshots, and page numbering must be completed before submission.</w:t>
      </w:r>
    </w:p>
    <w:p/>
    <w:p>
      <w:pPr>
        <w:pStyle w:val="3"/>
      </w:pPr>
      <w:r>
        <w:t>Front Matter Placeholders</w:t>
      </w:r>
    </w:p>
    <w:p>
      <w:pPr>
        <w:pStyle w:val="7"/>
      </w:pPr>
      <w:r>
        <w:t xml:space="preserve">Student name: </w:t>
      </w:r>
      <w:r>
        <w:rPr>
          <w:rFonts w:hint="default"/>
          <w:lang w:val="en-US"/>
        </w:rPr>
        <w:t>Bolaji-Busola Daniel</w:t>
      </w:r>
    </w:p>
    <w:p>
      <w:pPr>
        <w:pStyle w:val="7"/>
        <w:rPr>
          <w:rFonts w:hint="default"/>
          <w:lang w:val="en-US"/>
        </w:rPr>
      </w:pPr>
      <w:r>
        <w:t xml:space="preserve">Registration number: </w:t>
      </w:r>
      <w:r>
        <w:rPr>
          <w:rFonts w:hint="default"/>
          <w:lang w:val="en-US"/>
        </w:rPr>
        <w:t>2304281</w:t>
      </w:r>
    </w:p>
    <w:p>
      <w:pPr>
        <w:pStyle w:val="7"/>
        <w:rPr>
          <w:rFonts w:hint="default"/>
          <w:lang w:val="en-US"/>
        </w:rPr>
      </w:pPr>
      <w:r>
        <w:t xml:space="preserve">Department and college: </w:t>
      </w:r>
      <w:r>
        <w:rPr>
          <w:rFonts w:hint="default"/>
          <w:lang w:val="en-US"/>
        </w:rPr>
        <w:t>Computer Information Systems (CIS)</w:t>
      </w:r>
    </w:p>
    <w:p>
      <w:pPr>
        <w:pStyle w:val="7"/>
      </w:pPr>
      <w:r>
        <w:t xml:space="preserve">Supervisor: </w:t>
      </w:r>
      <w:r>
        <w:rPr>
          <w:rFonts w:hint="default"/>
          <w:b/>
          <w:bCs/>
          <w:lang w:val="en-US"/>
        </w:rPr>
        <w:t>MR SEUN OGUNYALE</w:t>
      </w:r>
    </w:p>
    <w:p>
      <w:pPr>
        <w:pStyle w:val="7"/>
        <w:rPr>
          <w:rFonts w:hint="default"/>
          <w:lang w:val="en-US"/>
        </w:rPr>
      </w:pPr>
    </w:p>
    <w:p>
      <w:pPr>
        <w:pStyle w:val="7"/>
        <w:jc w:val="right"/>
        <w:rPr>
          <w:i/>
          <w:iCs/>
          <w:sz w:val="20"/>
          <w:szCs w:val="20"/>
        </w:rPr>
      </w:pPr>
      <w:r>
        <w:rPr>
          <w:i/>
          <w:iCs/>
          <w:sz w:val="20"/>
          <w:szCs w:val="20"/>
        </w:rPr>
        <w:t>Certification, dedication, acknowledgements, table of contents, lists of figures/tables, abbreviations, and abstract</w:t>
      </w:r>
      <w:r>
        <w:rPr>
          <w:rFonts w:hint="default"/>
          <w:i/>
          <w:iCs/>
          <w:sz w:val="20"/>
          <w:szCs w:val="20"/>
          <w:lang w:val="en-US"/>
        </w:rPr>
        <w:t xml:space="preserve"> are for the actual paper</w:t>
      </w:r>
      <w:r>
        <w:rPr>
          <w:i/>
          <w:iCs/>
          <w:sz w:val="20"/>
          <w:szCs w:val="20"/>
        </w:rPr>
        <w:t>.</w:t>
      </w:r>
    </w:p>
    <w:p>
      <w:pPr>
        <w:pStyle w:val="7"/>
      </w:pPr>
    </w:p>
    <w:p>
      <w:pPr>
        <w:pStyle w:val="2"/>
      </w:pPr>
      <w:r>
        <w:t>CHAPTER ONE: INTRODUCTION</w:t>
      </w:r>
    </w:p>
    <w:p/>
    <w:p>
      <w:pPr>
        <w:pStyle w:val="3"/>
        <w:numPr>
          <w:ilvl w:val="1"/>
          <w:numId w:val="1"/>
        </w:numPr>
      </w:pPr>
      <w:r>
        <w:t>Background to the Study</w:t>
      </w:r>
    </w:p>
    <w:p>
      <w:pPr>
        <w:numPr>
          <w:numId w:val="0"/>
        </w:numPr>
      </w:pPr>
    </w:p>
    <w:p>
      <w:r>
        <w: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w:t>
      </w:r>
    </w:p>
    <w:p/>
    <w:p>
      <w:r>
        <w: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w:t>
      </w:r>
    </w:p>
    <w:p/>
    <w:p>
      <w:pPr>
        <w:pStyle w:val="3"/>
        <w:numPr>
          <w:ilvl w:val="1"/>
          <w:numId w:val="1"/>
        </w:numPr>
        <w:ind w:left="0" w:leftChars="0" w:firstLine="0" w:firstLineChars="0"/>
      </w:pPr>
      <w:r>
        <w:t>Statement of the Problem</w:t>
      </w:r>
    </w:p>
    <w:p>
      <w:pPr>
        <w:numPr>
          <w:numId w:val="0"/>
        </w:numPr>
      </w:pPr>
    </w:p>
    <w:p>
      <w:r>
        <w: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w:t>
      </w:r>
    </w:p>
    <w:p/>
    <w:p>
      <w:r>
        <w:t>There is therefore a need for a reconnaissance orchestration system that treats scope enforcement, destination safety, evidence provenance, durable processing, and failure reporting as central system requirements rather than optional plugin behaviour.</w:t>
      </w:r>
    </w:p>
    <w:p/>
    <w:p/>
    <w:p>
      <w:pPr>
        <w:pStyle w:val="3"/>
        <w:numPr>
          <w:ilvl w:val="1"/>
          <w:numId w:val="1"/>
        </w:numPr>
        <w:ind w:left="0" w:leftChars="0" w:firstLine="0" w:firstLineChars="0"/>
      </w:pPr>
      <w:r>
        <w:t>Aim and Objectives</w:t>
      </w:r>
    </w:p>
    <w:p>
      <w:pPr>
        <w:numPr>
          <w:numId w:val="0"/>
        </w:numPr>
      </w:pPr>
    </w:p>
    <w:p>
      <w:r>
        <w:t>The aim is to design, implement, and evaluate a scope-controlled reconnaissance orchestration and evidence management system.</w:t>
      </w:r>
    </w:p>
    <w:p>
      <w:r>
        <w:t>The objectives are to:</w:t>
      </w:r>
    </w:p>
    <w:p>
      <w:r>
        <w:t>1. design a modular architecture for authorised reconnaissance workflows;</w:t>
      </w:r>
    </w:p>
    <w:p>
      <w:r>
        <w:t>2. implement hostname, IP address, port, redirect, and destination-safety controls;</w:t>
      </w:r>
    </w:p>
    <w:p>
      <w:r>
        <w:t>3. implement plugin scheduling, durable event handling, asset normalisation, and evidence storage;</w:t>
      </w:r>
    </w:p>
    <w:p>
      <w:r>
        <w:t>4. evaluate correctness using deterministic regression, crash-recovery, and controlled integration tests;</w:t>
      </w:r>
    </w:p>
    <w:p>
      <w:r>
        <w:t>5. assess the system's limitations and suitability as a foundation for auditable reconnaissance automation.</w:t>
      </w:r>
    </w:p>
    <w:p/>
    <w:p>
      <w:pPr>
        <w:pStyle w:val="3"/>
        <w:numPr>
          <w:ilvl w:val="1"/>
          <w:numId w:val="1"/>
        </w:numPr>
        <w:ind w:left="0" w:leftChars="0" w:firstLine="0" w:firstLineChars="0"/>
      </w:pPr>
      <w:r>
        <w:t>Methodology Overview</w:t>
      </w:r>
    </w:p>
    <w:p>
      <w:pPr>
        <w:numPr>
          <w:numId w:val="0"/>
        </w:numPr>
      </w:pPr>
    </w:p>
    <w:p>
      <w:r>
        <w: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w:t>
      </w:r>
    </w:p>
    <w:p/>
    <w:p>
      <w:pPr>
        <w:pStyle w:val="3"/>
        <w:numPr>
          <w:ilvl w:val="1"/>
          <w:numId w:val="1"/>
        </w:numPr>
        <w:ind w:left="0" w:leftChars="0" w:firstLine="0" w:firstLineChars="0"/>
      </w:pPr>
      <w:r>
        <w:t>Significance of the Study</w:t>
      </w:r>
    </w:p>
    <w:p>
      <w:pPr>
        <w:numPr>
          <w:numId w:val="0"/>
        </w:numPr>
      </w:pPr>
    </w:p>
    <w:p>
      <w:r>
        <w: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w:t>
      </w:r>
    </w:p>
    <w:p/>
    <w:p>
      <w:pPr>
        <w:pStyle w:val="3"/>
        <w:numPr>
          <w:ilvl w:val="1"/>
          <w:numId w:val="1"/>
        </w:numPr>
        <w:ind w:left="0" w:leftChars="0" w:firstLine="0" w:firstLineChars="0"/>
      </w:pPr>
      <w:r>
        <w:t>Scope and Limitations</w:t>
      </w:r>
    </w:p>
    <w:p>
      <w:pPr>
        <w:numPr>
          <w:numId w:val="0"/>
        </w:numPr>
      </w:pPr>
    </w:p>
    <w:p>
      <w:r>
        <w: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w:t>
      </w:r>
    </w:p>
    <w:p/>
    <w:p>
      <w:pPr>
        <w:pStyle w:val="3"/>
        <w:numPr>
          <w:ilvl w:val="1"/>
          <w:numId w:val="1"/>
        </w:numPr>
        <w:ind w:left="0" w:leftChars="0" w:firstLine="0" w:firstLineChars="0"/>
      </w:pPr>
      <w:r>
        <w:t>Organisation of the Study</w:t>
      </w:r>
    </w:p>
    <w:p>
      <w:pPr>
        <w:numPr>
          <w:numId w:val="0"/>
        </w:numPr>
      </w:pPr>
    </w:p>
    <w:p>
      <w:r>
        <w:t>Chapter One introduces the problem. Chapter Two reviews related concepts and tools. Chapter Three presents system analysis, design, and methodology. Chapter Four describes implementation and evaluation. Chapter Five summarises the study, limitations, recommendations, and conclusions.</w:t>
      </w:r>
    </w:p>
    <w:p/>
    <w:p/>
    <w:p>
      <w:pPr>
        <w:pStyle w:val="2"/>
      </w:pPr>
      <w:r>
        <w:t>CHAPTER TWO: LITERATURE REVIEW</w:t>
      </w:r>
    </w:p>
    <w:p/>
    <w:p>
      <w:pPr>
        <w:pStyle w:val="3"/>
      </w:pPr>
      <w:r>
        <w:t>2.1 Preamble</w:t>
      </w:r>
    </w:p>
    <w:p/>
    <w:p>
      <w:r>
        <w:t>This chapter will review authorised reconnaissance, attack-surface management, scope control, certificate transparency, asynchronous orchestration, event-driven systems, evidence provenance, and resilient automation.</w:t>
      </w:r>
    </w:p>
    <w:p/>
    <w:p>
      <w:pPr>
        <w:pStyle w:val="3"/>
      </w:pPr>
      <w:r>
        <w:t>2.2 Conceptual Foundation</w:t>
      </w:r>
    </w:p>
    <w:p/>
    <w:p>
      <w:r>
        <w:t>The conceptual model separates four concerns: policy determines whether a destination is allowed; network controls determine how it may be contacted; plugins produce observations; and persistence preserves both raw evidence and normalised asset state.</w:t>
      </w:r>
    </w:p>
    <w:p/>
    <w:p>
      <w:pPr>
        <w:pStyle w:val="3"/>
      </w:pPr>
      <w:r>
        <w:t>2.3 Reconnaissance Techniques</w:t>
      </w:r>
    </w:p>
    <w:p/>
    <w:p>
      <w:r>
        <w:t>Discuss passive discovery, DNS resolution, HTTP probing, certificate-transparency logs, active discovery, and ethical boundaries. Distinguish discovery from verification and exploitation.</w:t>
      </w:r>
    </w:p>
    <w:p>
      <w:pPr>
        <w:pStyle w:val="3"/>
      </w:pPr>
    </w:p>
    <w:p>
      <w:pPr>
        <w:pStyle w:val="3"/>
      </w:pPr>
      <w:r>
        <w:t>2.4 Scope Enforcement and SSRF-Related Risks</w:t>
      </w:r>
    </w:p>
    <w:p/>
    <w:p>
      <w:r>
        <w:t>Review hostname scope, CIDR policy, redirect validation, private/reserved address protection, DNS rebinding, port restrictions, and the importance of checking a destination before network contact.</w:t>
      </w:r>
    </w:p>
    <w:p>
      <w:pPr>
        <w:pStyle w:val="3"/>
      </w:pPr>
    </w:p>
    <w:p>
      <w:pPr>
        <w:pStyle w:val="3"/>
      </w:pPr>
      <w:r>
        <w:t>2.5 Event-Driven and Resumable Systems</w:t>
      </w:r>
    </w:p>
    <w:p/>
    <w:p>
      <w:r>
        <w:t>Review asynchronous queues, at-least-once delivery, idempotency, durable event logs, retries, dead-letter handling, and graceful shutdown.</w:t>
      </w:r>
    </w:p>
    <w:p>
      <w:pPr>
        <w:pStyle w:val="3"/>
      </w:pPr>
    </w:p>
    <w:p>
      <w:pPr>
        <w:pStyle w:val="3"/>
      </w:pPr>
      <w:r>
        <w:t>2.6 Evidence Provenance and Asset Normalisation</w:t>
      </w:r>
    </w:p>
    <w:p/>
    <w:p>
      <w:r>
        <w:t>Explain the two-truths model: immutable observations provide provenance, while mergeable graph records represent current asset state.</w:t>
      </w:r>
    </w:p>
    <w:p>
      <w:pPr>
        <w:pStyle w:val="3"/>
      </w:pPr>
    </w:p>
    <w:p>
      <w:pPr>
        <w:pStyle w:val="3"/>
      </w:pPr>
      <w:r>
        <w:t>2.7 Review of Existing Tools</w:t>
      </w:r>
    </w:p>
    <w:p/>
    <w:p>
      <w:r>
        <w:t>Compare reconFTW, Amass, Subfinder, httpx, and related systems using breadth, scope policy, durability, provenance, extensibility, and reporting. Sh4q should be positioned as an orchestration control plane, not as a direct breadth competitor.</w:t>
      </w:r>
    </w:p>
    <w:p>
      <w:pPr>
        <w:pStyle w:val="3"/>
      </w:pPr>
    </w:p>
    <w:p>
      <w:pPr>
        <w:pStyle w:val="3"/>
      </w:pPr>
      <w:r>
        <w:t>2.8 Identified Gap</w:t>
      </w:r>
    </w:p>
    <w:p/>
    <w:p>
      <w:r>
        <w:t>The research gap is the limited emphasis on centralised, testable scope enforcement and durable evidence handling across heterogeneous reconnaissance operations.</w:t>
      </w:r>
    </w:p>
    <w:p>
      <w:pPr>
        <w:pStyle w:val="3"/>
      </w:pPr>
    </w:p>
    <w:p>
      <w:pPr>
        <w:pStyle w:val="3"/>
      </w:pPr>
      <w:r>
        <w:t>2.9 Literature Review Requirements</w:t>
      </w:r>
    </w:p>
    <w:p/>
    <w:p>
      <w:r>
        <w:t>This chapter requires supervisor-approved scholarly sources, APA 7 citations, a comparison table, and a literature matrix covering approximately 2020-2026. Tool documentation may support implementation discussion but should not replace peer-reviewed literature.</w:t>
      </w:r>
    </w:p>
    <w:p>
      <w:pPr>
        <w:pStyle w:val="2"/>
      </w:pPr>
    </w:p>
    <w:p>
      <w:pPr>
        <w:pStyle w:val="2"/>
      </w:pPr>
    </w:p>
    <w:p>
      <w:pPr>
        <w:pStyle w:val="2"/>
      </w:pPr>
    </w:p>
    <w:p>
      <w:pPr>
        <w:pStyle w:val="2"/>
      </w:pPr>
      <w:r>
        <w:t>CHAPTER THREE: SYSTEM ANALYSIS, DESIGN AND METHODOLOGY</w:t>
      </w:r>
    </w:p>
    <w:p>
      <w:pPr>
        <w:pStyle w:val="3"/>
      </w:pPr>
    </w:p>
    <w:p>
      <w:pPr>
        <w:pStyle w:val="3"/>
      </w:pPr>
      <w:r>
        <w:t>3.1 Existing-System Analysis</w:t>
      </w:r>
    </w:p>
    <w:p/>
    <w:p>
      <w:r>
        <w:t>Existing workflows often chain utilities through shell scripts. They provide strong coverage but can distribute scope decisions, retries, parsing, and evidence handling across unrelated tools.</w:t>
      </w:r>
    </w:p>
    <w:p>
      <w:pPr>
        <w:pStyle w:val="3"/>
      </w:pPr>
    </w:p>
    <w:p>
      <w:pPr>
        <w:pStyle w:val="3"/>
      </w:pPr>
      <w:r>
        <w:t>3.2 Proposed System</w:t>
      </w:r>
    </w:p>
    <w:p/>
    <w:p>
      <w:r>
        <w: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w:t>
      </w:r>
    </w:p>
    <w:p>
      <w:pPr>
        <w:pStyle w:val="3"/>
      </w:pPr>
    </w:p>
    <w:p>
      <w:pPr>
        <w:pStyle w:val="3"/>
      </w:pPr>
      <w:r>
        <w:t>3.3 Functional Requirements</w:t>
      </w:r>
    </w:p>
    <w:p>
      <w:pPr>
        <w:pStyle w:val="7"/>
      </w:pPr>
    </w:p>
    <w:p>
      <w:pPr>
        <w:pStyle w:val="7"/>
        <w:numPr>
          <w:ilvl w:val="0"/>
          <w:numId w:val="2"/>
        </w:numPr>
        <w:ind w:left="420" w:leftChars="0" w:hanging="420" w:firstLineChars="0"/>
      </w:pPr>
      <w:r>
        <w:t>Accept a target and optional YAML configuration.</w:t>
      </w:r>
    </w:p>
    <w:p>
      <w:pPr>
        <w:pStyle w:val="7"/>
        <w:numPr>
          <w:ilvl w:val="0"/>
          <w:numId w:val="2"/>
        </w:numPr>
        <w:ind w:left="420" w:leftChars="0" w:hanging="420" w:firstLineChars="0"/>
      </w:pPr>
      <w:r>
        <w:t>Reject unauthorised targets before plugin execution.</w:t>
      </w:r>
    </w:p>
    <w:p>
      <w:pPr>
        <w:pStyle w:val="7"/>
        <w:numPr>
          <w:ilvl w:val="0"/>
          <w:numId w:val="2"/>
        </w:numPr>
        <w:ind w:left="420" w:leftChars="0" w:hanging="420" w:firstLineChars="0"/>
      </w:pPr>
      <w:r>
        <w:t>Validate ports, redirects, resolved addresses, and private-address policy.</w:t>
      </w:r>
    </w:p>
    <w:p>
      <w:pPr>
        <w:pStyle w:val="7"/>
        <w:numPr>
          <w:ilvl w:val="0"/>
          <w:numId w:val="2"/>
        </w:numPr>
        <w:ind w:left="420" w:leftChars="0" w:hanging="420" w:firstLineChars="0"/>
      </w:pPr>
      <w:r>
        <w:t>Execute dependency-ordered plugins with bounded timeouts and retries.</w:t>
      </w:r>
    </w:p>
    <w:p>
      <w:pPr>
        <w:pStyle w:val="7"/>
        <w:numPr>
          <w:ilvl w:val="0"/>
          <w:numId w:val="2"/>
        </w:numPr>
        <w:ind w:left="420" w:leftChars="0" w:hanging="420" w:firstLineChars="0"/>
      </w:pPr>
      <w:r>
        <w:t>Store evidence, nodes, relationships, and durable event status.</w:t>
      </w:r>
    </w:p>
    <w:p>
      <w:pPr>
        <w:pStyle w:val="7"/>
        <w:numPr>
          <w:ilvl w:val="0"/>
          <w:numId w:val="2"/>
        </w:numPr>
        <w:ind w:left="420" w:leftChars="0" w:hanging="420" w:firstLineChars="0"/>
      </w:pPr>
      <w:r>
        <w:t>Recover unfinished events without duplicating evidence or relationships.</w:t>
      </w:r>
    </w:p>
    <w:p>
      <w:pPr>
        <w:pStyle w:val="7"/>
        <w:numPr>
          <w:ilvl w:val="0"/>
          <w:numId w:val="2"/>
        </w:numPr>
        <w:ind w:left="420" w:leftChars="0" w:hanging="420" w:firstLineChars="0"/>
      </w:pPr>
      <w:r>
        <w:t>Report assets separately from operational evidence.</w:t>
      </w:r>
    </w:p>
    <w:p>
      <w:pPr>
        <w:pStyle w:val="3"/>
      </w:pPr>
    </w:p>
    <w:p>
      <w:pPr>
        <w:pStyle w:val="3"/>
      </w:pPr>
      <w:r>
        <w:t>3.4 Non-Functional Requirements</w:t>
      </w:r>
    </w:p>
    <w:p/>
    <w:p>
      <w:r>
        <w:t>Safety, auditability, modularity, recoverability, deterministic testing, understandable failure reporting, and controlled extensibility.</w:t>
      </w:r>
    </w:p>
    <w:p>
      <w:pPr>
        <w:pStyle w:val="3"/>
      </w:pPr>
    </w:p>
    <w:p>
      <w:pPr>
        <w:pStyle w:val="3"/>
      </w:pPr>
      <w:r>
        <w:t>3.5 Architecture</w:t>
      </w:r>
    </w:p>
    <w:p/>
    <w:p>
      <w:r>
        <w:t>Document Gate 1 target authorisation, scoped HTTP resolution and IP pinning, per-redirect checks, plugin execution, durable event publication, evidence-first handling, Gate 2 asset acceptance, and SQLite persistence. Include component, sequence, data-flow, and deployment diagrams.</w:t>
      </w:r>
    </w:p>
    <w:p>
      <w:pPr>
        <w:pStyle w:val="3"/>
      </w:pPr>
    </w:p>
    <w:p>
      <w:pPr>
        <w:pStyle w:val="3"/>
      </w:pPr>
      <w:r>
        <w:t>3.6 Data Design</w:t>
      </w:r>
    </w:p>
    <w:p/>
    <w:p>
      <w:r>
        <w:t>Describe Node, Relationship, Evidence, and Event Log records. Explain deterministic identifiers and idempotent inserts.</w:t>
      </w:r>
    </w:p>
    <w:p>
      <w:pPr>
        <w:pStyle w:val="3"/>
      </w:pPr>
    </w:p>
    <w:p>
      <w:pPr>
        <w:pStyle w:val="3"/>
      </w:pPr>
      <w:r>
        <w:t>3.7 Methodology</w:t>
      </w:r>
    </w:p>
    <w:p/>
    <w:p>
      <w:r>
        <w: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w:t>
      </w:r>
    </w:p>
    <w:p>
      <w:pPr>
        <w:pStyle w:val="3"/>
      </w:pPr>
    </w:p>
    <w:p>
      <w:pPr>
        <w:pStyle w:val="3"/>
      </w:pPr>
      <w:r>
        <w:t>3.8 Ethical and Security Considerations</w:t>
      </w:r>
    </w:p>
    <w:p/>
    <w:p>
      <w:r>
        <w:t>Testing must use owned, permitted, or controlled targets. Private addresses are denied by default. Live-domain observations are limited to low-impact discovery and should be documented as engineering validation, not proof of authorisation for intrusive testing.</w:t>
      </w:r>
    </w:p>
    <w:p>
      <w:pPr>
        <w:pStyle w:val="2"/>
      </w:pPr>
    </w:p>
    <w:p>
      <w:pPr>
        <w:pStyle w:val="2"/>
      </w:pPr>
    </w:p>
    <w:p>
      <w:pPr>
        <w:pStyle w:val="2"/>
      </w:pPr>
      <w:r>
        <w:t>CHAPTER FOUR: SYSTEM IMPLEMENTATION AND EVALUATION</w:t>
      </w:r>
    </w:p>
    <w:p>
      <w:pPr>
        <w:pStyle w:val="3"/>
      </w:pPr>
    </w:p>
    <w:p>
      <w:pPr>
        <w:pStyle w:val="3"/>
      </w:pPr>
      <w:r>
        <w:t>4.1 Implementation Environment</w:t>
      </w:r>
    </w:p>
    <w:p/>
    <w:p>
      <w:r>
        <w:t xml:space="preserve">Python 3.11+, asyncio, Pydantic v2, PyYAML, aiosqlite, HTTPX, SQLite, setuptools, and a </w:t>
      </w:r>
    </w:p>
    <w:p>
      <w:r>
        <w:t>command-line interface.</w:t>
      </w:r>
    </w:p>
    <w:p>
      <w:pPr>
        <w:pStyle w:val="3"/>
      </w:pPr>
    </w:p>
    <w:p>
      <w:pPr>
        <w:pStyle w:val="3"/>
      </w:pPr>
      <w:r>
        <w:t>4.2 Implemented Components</w:t>
      </w:r>
    </w:p>
    <w:p/>
    <w:p>
      <w:r>
        <w:t>Describe configuration loading, Scope Engine, scoped HTTP transport, DNS plugin, HTTP plugin, CT connectors, Scheduler, Event Bus, Durable Event Log, Evidence Store, graph storage, handlers, scan runner, and CLI.</w:t>
      </w:r>
    </w:p>
    <w:p>
      <w:pPr>
        <w:pStyle w:val="3"/>
      </w:pPr>
    </w:p>
    <w:p>
      <w:pPr>
        <w:pStyle w:val="3"/>
      </w:pPr>
      <w:r>
        <w:t>4.3 Important Engineering Corrections</w:t>
      </w:r>
    </w:p>
    <w:p/>
    <w:p>
      <w:r>
        <w:t>1. Automatic redirect following was replaced with hop-by-hop policy checks.</w:t>
      </w:r>
    </w:p>
    <w:p>
      <w:r>
        <w:t xml:space="preserve">2. </w:t>
      </w:r>
      <w:r>
        <w:rPr>
          <w:b/>
          <w:bCs/>
        </w:rPr>
        <w:t>DNS</w:t>
      </w:r>
      <w:r>
        <w:t xml:space="preserve"> answers are checked for unsafe address classes and the approved IP is pinned to the connection while preserving Host and </w:t>
      </w:r>
      <w:r>
        <w:rPr>
          <w:b/>
          <w:bCs/>
        </w:rPr>
        <w:t>TLS SNI</w:t>
      </w:r>
      <w:r>
        <w:t>.</w:t>
      </w:r>
    </w:p>
    <w:p>
      <w:r>
        <w:t>3. Scope authorisation was separated from future request accounting.</w:t>
      </w:r>
    </w:p>
    <w:p>
      <w:r>
        <w:t>4. Public DNS answers are evaluated by address-safety policy rather than literal hostname-scope matching.</w:t>
      </w:r>
    </w:p>
    <w:p>
      <w:r>
        <w:t xml:space="preserve">5. </w:t>
      </w:r>
      <w:r>
        <w:rPr>
          <w:b/>
          <w:bCs/>
        </w:rPr>
        <w:t>HTTP/HTTPS</w:t>
      </w:r>
      <w:r>
        <w:t xml:space="preserve"> results are isolated and timeout evidence is preserved before the scheduler's hard deadline.</w:t>
      </w:r>
    </w:p>
    <w:p>
      <w:r>
        <w:t xml:space="preserve">6. </w:t>
      </w:r>
      <w:r>
        <w:rPr>
          <w:b/>
          <w:bCs/>
        </w:rPr>
        <w:t>CT</w:t>
      </w:r>
      <w:r>
        <w:t xml:space="preserve"> partial results survive provider degradation, retries, and rate limiting.</w:t>
      </w:r>
    </w:p>
    <w:p>
      <w:r>
        <w:t>7. Asset counts are separated from evidence and provider-status events.</w:t>
      </w:r>
    </w:p>
    <w:p>
      <w:r>
        <w:t>8. Equivalent URLs are canonicalised before persistence.</w:t>
      </w:r>
    </w:p>
    <w:p>
      <w:pPr>
        <w:pStyle w:val="3"/>
      </w:pPr>
    </w:p>
    <w:p>
      <w:pPr>
        <w:pStyle w:val="3"/>
      </w:pPr>
      <w:r>
        <w:t>4.4 Testing Strategy</w:t>
      </w:r>
    </w:p>
    <w:p/>
    <w:p>
      <w:r>
        <w:t>Include deterministic scope tests, mocked redirect tests, reserved-address tests, mixed DNS-answer tests, IDNA tests, a local TLS integration test, HTTP partial-timeout tests, CT provider retry tests, evidence idempotency tests, and crash recovery tests.</w:t>
      </w:r>
    </w:p>
    <w:p>
      <w:pPr>
        <w:pStyle w:val="3"/>
      </w:pPr>
    </w:p>
    <w:p>
      <w:pPr>
        <w:pStyle w:val="3"/>
      </w:pPr>
    </w:p>
    <w:p>
      <w:pPr>
        <w:pStyle w:val="3"/>
      </w:pPr>
      <w:r>
        <w:t>4.5 Evaluation Metrics</w:t>
      </w:r>
    </w:p>
    <w:p/>
    <w:p>
      <w:pPr>
        <w:pStyle w:val="7"/>
        <w:numPr>
          <w:ilvl w:val="0"/>
          <w:numId w:val="2"/>
        </w:numPr>
        <w:ind w:left="420" w:leftChars="0" w:hanging="420" w:firstLineChars="0"/>
      </w:pPr>
      <w:r>
        <w:t>Scope-policy correctness.</w:t>
      </w:r>
    </w:p>
    <w:p>
      <w:pPr>
        <w:pStyle w:val="7"/>
        <w:numPr>
          <w:ilvl w:val="0"/>
          <w:numId w:val="2"/>
        </w:numPr>
        <w:ind w:left="420" w:leftChars="0" w:hanging="420" w:firstLineChars="0"/>
      </w:pPr>
      <w:r>
        <w:t>Number of forbidden network contacts in adversarial tests (target: zero).</w:t>
      </w:r>
    </w:p>
    <w:p>
      <w:pPr>
        <w:pStyle w:val="7"/>
        <w:numPr>
          <w:ilvl w:val="0"/>
          <w:numId w:val="2"/>
        </w:numPr>
        <w:ind w:left="420" w:leftChars="0" w:hanging="420" w:firstLineChars="0"/>
      </w:pPr>
      <w:r>
        <w:t>Recovery correctness and duplicate count (target: zero duplicates).</w:t>
      </w:r>
    </w:p>
    <w:p>
      <w:pPr>
        <w:pStyle w:val="7"/>
        <w:numPr>
          <w:ilvl w:val="0"/>
          <w:numId w:val="2"/>
        </w:numPr>
        <w:ind w:left="420" w:leftChars="0" w:hanging="420" w:firstLineChars="0"/>
      </w:pPr>
      <w:r>
        <w:t>Asset/evidence consistency.</w:t>
      </w:r>
    </w:p>
    <w:p>
      <w:pPr>
        <w:pStyle w:val="7"/>
        <w:numPr>
          <w:ilvl w:val="0"/>
          <w:numId w:val="2"/>
        </w:numPr>
        <w:ind w:left="420" w:leftChars="0" w:hanging="420" w:firstLineChars="0"/>
      </w:pPr>
      <w:r>
        <w:t>Provider partial-result retention.</w:t>
      </w:r>
    </w:p>
    <w:p>
      <w:pPr>
        <w:pStyle w:val="7"/>
        <w:numPr>
          <w:ilvl w:val="0"/>
          <w:numId w:val="2"/>
        </w:numPr>
        <w:ind w:left="420" w:leftChars="0" w:hanging="420" w:firstLineChars="0"/>
      </w:pPr>
      <w:r>
        <w:t>Scan duration and timeout behaviour.</w:t>
      </w:r>
    </w:p>
    <w:p>
      <w:pPr>
        <w:pStyle w:val="7"/>
        <w:numPr>
          <w:ilvl w:val="0"/>
          <w:numId w:val="2"/>
        </w:numPr>
        <w:ind w:left="420" w:leftChars="0" w:hanging="420" w:firstLineChars="0"/>
      </w:pPr>
      <w:r>
        <w:t>Test pass rate.</w:t>
      </w:r>
    </w:p>
    <w:p>
      <w:pPr>
        <w:pStyle w:val="3"/>
      </w:pPr>
    </w:p>
    <w:p>
      <w:pPr>
        <w:pStyle w:val="3"/>
      </w:pPr>
      <w:r>
        <w:t>4.6 Preliminary Results</w:t>
      </w:r>
    </w:p>
    <w:p/>
    <w:p>
      <w:r>
        <w:t>Controlled tests demonstrate blocked out-of-scope redirects, reserved-address rejection, DNS-rebinding resistance through IP pinning, preserved TLS hostname identity, URL deduplication, and retained CT partial results. Live-domain runs exposed realistic DNS latency, HTTP timeout, CT degradation, and rate-limit conditions. These runs informed corrections but are not a substitute for controlled evaluation.</w:t>
      </w:r>
    </w:p>
    <w:p>
      <w:pPr>
        <w:pStyle w:val="3"/>
      </w:pPr>
    </w:p>
    <w:p>
      <w:pPr>
        <w:pStyle w:val="3"/>
      </w:pPr>
      <w:r>
        <w:t>4.7 Current Limitations</w:t>
      </w:r>
    </w:p>
    <w:p/>
    <w:p>
      <w:r>
        <w:t>Event dispatch failure handling and dead-letter states are incomplete. Configured request-rate and concurrency limits are not yet enforced. CT connectors do not yet use the shared trusted-service network policy. SQLite schema migration and CI are absent. Tests remain a mixture of assertions and older print-based scripts. Discovery breadth is intentionally limited.</w:t>
      </w:r>
    </w:p>
    <w:p>
      <w:pPr>
        <w:pStyle w:val="2"/>
      </w:pPr>
    </w:p>
    <w:p>
      <w:pPr>
        <w:pStyle w:val="2"/>
      </w:pPr>
    </w:p>
    <w:p>
      <w:pPr>
        <w:pStyle w:val="2"/>
      </w:pPr>
      <w:r>
        <w:t>CHAPTER FIVE: SUMMARY, RECOMMENDATIONS AND CONCLUSION</w:t>
      </w:r>
    </w:p>
    <w:p>
      <w:pPr>
        <w:pStyle w:val="3"/>
      </w:pPr>
    </w:p>
    <w:p>
      <w:pPr>
        <w:pStyle w:val="3"/>
      </w:pPr>
      <w:r>
        <w:t>5.1 Summary</w:t>
      </w:r>
    </w:p>
    <w:p/>
    <w:p>
      <w:r>
        <w:t>The project demonstrates a modular reconnaissance control plane centred on policy, evidence, and recovery rather than maximum discovery breadth.</w:t>
      </w:r>
    </w:p>
    <w:p>
      <w:pPr>
        <w:pStyle w:val="3"/>
      </w:pPr>
    </w:p>
    <w:p>
      <w:pPr>
        <w:pStyle w:val="3"/>
      </w:pPr>
      <w:r>
        <w:t>5.2 Contributions</w:t>
      </w:r>
    </w:p>
    <w:p/>
    <w:p>
      <w:pPr>
        <w:pStyle w:val="7"/>
      </w:pPr>
      <w:r>
        <w:t>A two-stage authorisation model.</w:t>
      </w:r>
    </w:p>
    <w:p>
      <w:pPr>
        <w:pStyle w:val="7"/>
      </w:pPr>
      <w:r>
        <w:t>A scoped HTTP boundary with redirect and DNS-rebinding protection.</w:t>
      </w:r>
    </w:p>
    <w:p>
      <w:pPr>
        <w:pStyle w:val="7"/>
      </w:pPr>
      <w:r>
        <w:t>Separation of evidence from normalised asset state.</w:t>
      </w:r>
    </w:p>
    <w:p>
      <w:pPr>
        <w:pStyle w:val="7"/>
      </w:pPr>
      <w:r>
        <w:t>Durable event replay with idempotent persistence.</w:t>
      </w:r>
      <w:bookmarkStart w:id="0" w:name="_GoBack"/>
      <w:bookmarkEnd w:id="0"/>
    </w:p>
    <w:p>
      <w:pPr>
        <w:pStyle w:val="7"/>
      </w:pPr>
      <w:r>
        <w:t>Provider-aware partial-result preservation and transparent reporting.</w:t>
      </w:r>
    </w:p>
    <w:p>
      <w:pPr>
        <w:pStyle w:val="3"/>
      </w:pPr>
    </w:p>
    <w:p>
      <w:pPr>
        <w:pStyle w:val="3"/>
      </w:pPr>
      <w:r>
        <w:t>5.3 Recommendations</w:t>
      </w:r>
    </w:p>
    <w:p/>
    <w:p>
      <w:r>
        <w:t>Complete event failure recovery, rate limiting, request accounting, trusted-service networking, database hardening, CI, and formal evaluation. Add external-tool adapters only after these controls are complete.</w:t>
      </w:r>
    </w:p>
    <w:p>
      <w:pPr>
        <w:pStyle w:val="3"/>
      </w:pPr>
    </w:p>
    <w:p>
      <w:pPr>
        <w:pStyle w:val="3"/>
      </w:pPr>
      <w:r>
        <w:t>5.4 Conclusion</w:t>
      </w:r>
    </w:p>
    <w:p/>
    <w:p>
      <w:r>
        <w:t>Sh4q provides a defensible foundation for authorised, auditable reconnaissance orchestration. Its contribution is not superior enumeration breadth but the central enforcement and evidence architecture through which specialised discovery tools can be coordinated safely.</w:t>
      </w:r>
    </w:p>
    <w:p/>
    <w:p>
      <w:pPr>
        <w:pStyle w:val="3"/>
      </w:pPr>
      <w:r>
        <w:t>Appendices to Prepare</w:t>
      </w:r>
    </w:p>
    <w:p/>
    <w:p>
      <w:pPr>
        <w:pStyle w:val="7"/>
        <w:numPr>
          <w:ilvl w:val="0"/>
          <w:numId w:val="2"/>
        </w:numPr>
        <w:ind w:left="420" w:leftChars="0" w:hanging="420" w:firstLineChars="0"/>
      </w:pPr>
      <w:r>
        <w:t>Configuration examples.</w:t>
      </w:r>
    </w:p>
    <w:p>
      <w:pPr>
        <w:pStyle w:val="7"/>
        <w:numPr>
          <w:ilvl w:val="0"/>
          <w:numId w:val="2"/>
        </w:numPr>
        <w:ind w:left="420" w:leftChars="0" w:hanging="420" w:firstLineChars="0"/>
      </w:pPr>
      <w:r>
        <w:t>Architecture and sequence diagrams.</w:t>
      </w:r>
    </w:p>
    <w:p>
      <w:pPr>
        <w:pStyle w:val="7"/>
        <w:numPr>
          <w:ilvl w:val="0"/>
          <w:numId w:val="2"/>
        </w:numPr>
        <w:ind w:left="420" w:leftChars="0" w:hanging="420" w:firstLineChars="0"/>
      </w:pPr>
      <w:r>
        <w:t>Test-case matrix and outputs.</w:t>
      </w:r>
    </w:p>
    <w:p>
      <w:pPr>
        <w:pStyle w:val="7"/>
        <w:numPr>
          <w:ilvl w:val="0"/>
          <w:numId w:val="2"/>
        </w:numPr>
        <w:ind w:left="420" w:leftChars="0" w:hanging="420" w:firstLineChars="0"/>
      </w:pPr>
      <w:r>
        <w:t>Selected source-code listings.</w:t>
      </w:r>
    </w:p>
    <w:p>
      <w:pPr>
        <w:pStyle w:val="7"/>
        <w:numPr>
          <w:ilvl w:val="0"/>
          <w:numId w:val="2"/>
        </w:numPr>
        <w:ind w:left="420" w:leftChars="0" w:hanging="420" w:firstLineChars="0"/>
      </w:pPr>
      <w:r>
        <w:t>Database schema.</w:t>
      </w:r>
    </w:p>
    <w:p>
      <w:pPr>
        <w:pStyle w:val="7"/>
        <w:numPr>
          <w:ilvl w:val="0"/>
          <w:numId w:val="2"/>
        </w:numPr>
        <w:ind w:left="420" w:leftChars="0" w:hanging="420" w:firstLineChars="0"/>
      </w:pPr>
      <w:r>
        <w:t>Commit/change chronology.</w:t>
      </w:r>
    </w:p>
    <w:p>
      <w:pPr>
        <w:pStyle w:val="7"/>
        <w:numPr>
          <w:ilvl w:val="0"/>
          <w:numId w:val="2"/>
        </w:numPr>
        <w:ind w:left="420" w:leftChars="0" w:hanging="420" w:firstLineChars="0"/>
      </w:pPr>
      <w:r>
        <w:t>Ethical testing statement.</w:t>
      </w:r>
    </w:p>
    <w:p>
      <w:pPr>
        <w:pStyle w:val="7"/>
      </w:pPr>
      <w:r>
        <w:t>User guide.</w:t>
      </w:r>
    </w:p>
    <w:sectPr>
      <w:pgSz w:w="12240" w:h="15840"/>
      <w:pgMar w:top="1440" w:right="1080" w:bottom="1440" w:left="108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E0002EFF" w:usb1="C000785B" w:usb2="00000009"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imSun">
    <w:altName w:val="Noto Sans CJK SC"/>
    <w:panose1 w:val="02010600030101010101"/>
    <w:charset w:val="86"/>
    <w:family w:val="auto"/>
    <w:pitch w:val="default"/>
    <w:sig w:usb0="00000000" w:usb1="0000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5EEB3"/>
    <w:multiLevelType w:val="multilevel"/>
    <w:tmpl w:val="9FF5EEB3"/>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B7F57C8"/>
    <w:multiLevelType w:val="singleLevel"/>
    <w:tmpl w:val="FB7F57C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compat>
    <w:splitPgBreakAndParaMark/>
    <w:compatSetting w:name="compatibilityMode" w:uri="http://schemas.microsoft.com/office/word" w:val="12"/>
  </w:compat>
  <w:rsids>
    <w:rsidRoot w:val="00000000"/>
    <w:rsid w:val="FE571FE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sz w:val="22"/>
      <w:szCs w:val="22"/>
    </w:rPr>
  </w:style>
  <w:style w:type="paragraph" w:styleId="2">
    <w:name w:val="heading 1"/>
    <w:basedOn w:val="1"/>
    <w:next w:val="1"/>
    <w:qFormat/>
    <w:uiPriority w:val="0"/>
    <w:rPr>
      <w:b/>
      <w:sz w:val="30"/>
    </w:rPr>
  </w:style>
  <w:style w:type="paragraph" w:styleId="3">
    <w:name w:val="heading 2"/>
    <w:basedOn w:val="1"/>
    <w:next w:val="1"/>
    <w:qFormat/>
    <w:uiPriority w:val="0"/>
    <w:rPr>
      <w:b/>
      <w:sz w:val="26"/>
    </w:rPr>
  </w:style>
  <w:style w:type="paragraph" w:styleId="4">
    <w:name w:val="heading 3"/>
    <w:basedOn w:val="1"/>
    <w:next w:val="1"/>
    <w:qFormat/>
    <w:uiPriority w:val="0"/>
    <w:rPr>
      <w:b/>
      <w:sz w:val="24"/>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List Bullet"/>
    <w:basedOn w:val="1"/>
    <w:qFormat/>
    <w:uiPriority w:val="0"/>
  </w:style>
  <w:style w:type="paragraph" w:styleId="8">
    <w:name w:val="List Number"/>
    <w:basedOn w:val="1"/>
    <w:qFormat/>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112</TotalTime>
  <ScaleCrop>false</ScaleCrop>
  <LinksUpToDate>false</LinksUpToDate>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2026-08-26T12:12:45Z</dcterms:created>
  <dc:creator>king42</dc:creator>
  <cp:lastModifiedBy>king42</cp:lastModifiedBy>
  <dcterms:modified xsi:type="dcterms:W3CDTF">2026-08-26T14:30:48Z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