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Normal"/>
      </ns0:pPr>
      <ns0:r>
        <ns0:t>35a. Discovered-host resolution was migrated from thread-backed system `getaddrinfo` to an asynchronous DNS resolver with explicit A/AAAA handling, caching, partial-family retention, bounded concurrency, and reason-specific failure reporting. This addresses resolver saturation observed in live runs and improves measurement correctness.</ns0:t>
      </ns0:r>
    </ns0:p>
    <ns0:p xmlns:ns0="http://schemas.openxmlformats.org/wordprocessingml/2006/main">
      <ns0:pPr>
        <ns0:pStyle ns0:val="Normal"/>
      </ns0:pPr>
      <ns0:r>
        <ns0:t>35b. A subsequent live run resolved 105 discovered names and separated 337 NXDOMAIN failures from 58 timeouts. It also identified redundant HTTP-stage DNS resolution; authorised addresses are now handed directly to the scoped transport for the initial connection, while redirects remain independently resolved and authorised.</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ListNumber"/>
      </ns0:pPr>
      <ns0:r>
        <ns0:t>The native signature engine evaluates a bounded 64 KiB HTML sample plus title, content type, cookie names, and selected headers. Versioned signatures cover conservative CMS, framework, CDN/WAF, runtime, and web-server signals; multiple independent observations increase confidence, while versions are recorded only when explicitly disclosed.</ns0:t>
      </ns0:r>
    </ns0:p>
    <ns0:p xmlns:ns0="http://schemas.openxmlformats.org/wordprocessingml/2006/main">
      <ns0:pPr>
        <ns0:pStyle ns0:val="ListNumber"/>
      </ns0:pPr>
      <ns0:r>
        <ns0:t>Technology results are displayed per endpoint with status, category, confidence, version, and supporting signal. Evaluation distinguishes total discovered assets from HTTP-observed endpoints; passive names are not described as fingerprinted hosts.</ns0:t>
      </ns0:r>
    </ns0:p>
    <ns0:p xmlns:ns0="http://schemas.openxmlformats.org/wordprocessingml/2006/main">
      <ns0:pPr>
        <ns0:pStyle ns0:val="ListNumber"/>
      </ns0:pPr>
      <ns0:r>
        <ns0:t>Technology reporting uses a compact endpoint-aware table and structured CSV/JSON export. More specific signature categories override generic server labels in new observations, while historical evidence remains immutable for reproducibility.</ns0:t>
      </ns0:r>
    </ns0:p>
    <ns0:p xmlns:ns0="http://schemas.openxmlformats.org/wordprocessingml/2006/main">
      <ns0:pPr>
        <ns0:pStyle ns0:val="ListNumber"/>
      </ns0:pPr>
      <ns0:r>
        <ns0:t>A persisted scan-overview command separates verified surface, stored records, categorized failures, per-source ownership, and durable request metrics without requiring SQL. Stage timing persistence remains follow-up work rather than being inferred retrospectively.</ns0:t>
      </ns0:r>
    </ns0:p>
    <ns0:p xmlns:ns0="http://schemas.openxmlformats.org/wordprocessingml/2006/main">
      <ns0:pPr>
        <ns0:pStyle ns0:val="ListNumber"/>
      </ns0:pPr>
      <ns0:r>
        <ns0:t>SQLite storage now records schema version 1, rejects unsupported newer schemas, establishes WAL during initialization, and consistently applies busy timeout and foreign-key settings. A 50-work-unit parallel validation completed with all expected nodes, relationships, events, and evidence records.</ns0:t>
      </ns0:r>
    </ns0:p>
    <ns0:p xmlns:ns0="http://schemas.openxmlformats.org/wordprocessingml/2006/main">
      <ns0:pPr>
        <ns0:pStyle ns0:val="ListNumber"/>
      </ns0:pPr>
      <ns0:r>
        <ns0:t>The private-alpha preparation plan includes a restrained ASCII identity and consistent table-based CLI presentation, while preserving plain-text output and prioritising evidence clarity over decoration.</ns0:t>
      </ns0:r>
    </ns0:p>
    <ns0:p xmlns:ns0="http://schemas.openxmlformats.org/wordprocessingml/2006/main">
      <ns0:pPr>
        <ns0:pStyle ns0:val="ListNumber"/>
      </ns0:pPr>
      <ns0:r>
        <ns0:t>A deterministic offline runner standardizes 36 assertion-based scripts with timeout enforcement, failure capture, durations, and process exit status. The initial aggregate run passed 36/36 tests in 13.25 seconds, and CI executes the same suite across Python 3.11-3.13.</ns0:t>
      </ns0:r>
    </ns0:p>
    <ns0:p xmlns:ns0="http://schemas.openxmlformats.org/wordprocessingml/2006/main">
      <ns0:pPr>
        <ns0:pStyle ns0:val="ListNumber"/>
      </ns0:pPr>
      <ns0:r>
        <ns0:t>Ordered stage metrics are persisted per scan with status, attempts, discovery count, duration, and cleanup errors. Historical overview reports can therefore support repeated performance evaluation without relying on copied terminal output. The expanded offline suite passed 37/37 tests in 12.89 seconds.</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