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ListNumber"/>
      </ns0:pPr>
      <ns0:r>
        <ns0:t>Result limiting now occurs after target matching; a discovered pagination defect previously produced inconsistent counts when filtering a global limited row set.</ns0:t>
      </ns0:r>
    </ns0:p>
    <ns0:p xmlns:ns0="http://schemas.openxmlformats.org/wordprocessingml/2006/main">
      <ns0:pPr>
        <ns0:pStyle ns0:val="ListNumber"/>
      </ns0:pPr>
      <ns0:r>
        <ns0:t>Durable scan-run identity records target, start/completion time, and outcome for new executions. Historical runs are not backfilled with guessed identities; evidence and asset ownership migration remains the next step.</ns0:t>
      </ns0:r>
    </ns0:p>
    <ns0:p xmlns:ns0="http://schemas.openxmlformats.org/wordprocessingml/2006/main">
      <ns0:pPr>
        <ns0:pStyle ns0:val="ListNumber"/>
      </ns0:pPr>
      <ns0:r>
        <ns0:t>New evidence and accepted graph relationships now retain scan-run ownership, allowing exact run and latest-run result views while preserving the deduplicated global asset graph.</ns0:t>
      </ns0:r>
    </ns0:p>
    <ns0:p xmlns:ns0="http://schemas.openxmlformats.org/wordprocessingml/2006/main">
      <ns0:pPr>
        <ns0:pStyle ns0:val="ListNumber"/>
      </ns0:pPr>
      <ns0:r>
        <ns0:t>Exact scan exports support structured JSON and spreadsheet-compatible CSV, include scan metadata and source provenance, avoid interactive result limits, and protect existing files from accidental overwrite.</ns0:t>
      </ns0:r>
    </ns0:p>
    <ns0:p xmlns:ns0="http://schemas.openxmlformats.org/wordprocessingml/2006/main">
      <ns0:pPr>
        <ns0:pStyle ns0:val="ListNumber"/>
      </ns0:pPr>
      <ns0:r>
        <ns0:t>Export detects migration-era runs that lack asset ownership and refuses misleading empty output; latest-run selection excludes unfinished executions while retaining them in the audit list.</ns0:t>
      </ns0:r>
    </ns0:p>
    <ns0:p xmlns:ns0="http://schemas.openxmlformats.org/wordprocessingml/2006/main">
      <ns0:pPr>
        <ns0:pStyle ns0:val="ListNumber"/>
      </ns0:pPr>
      <ns0:r>
        <ns0:t>A live migration validation found and corrected a scan-ownership handler defect: counters could report accepted assets before per-scan ownership persistence succeeded. Exact results and export exposed the inconsistency; ownership is now written before counters are updated, with regression coverage. The affected historical run is excluded from exact export rather than guessed or backfilled.</ns0:t>
      </ns0:r>
    </ns0:p>
    <ns0:p xmlns:ns0="http://schemas.openxmlformats.org/wordprocessingml/2006/main">
      <ns0:pPr>
        <ns0:pStyle ns0:val="ListNumber"/>
      </ns0:pPr>
      <ns0:r>
        <ns0:t>Structured export supports an evidence-backed HTTP liveness view (`--alive http`), selecting domains with a scan-owned HTTP/HTTPS endpoint observation rather than treating passive discovery as proof of availability.</ns0:t>
      </ns0:r>
    </ns0:p>
    <ns0:p xmlns:ns0="http://schemas.openxmlformats.org/wordprocessingml/2006/main">
      <ns0:pPr>
        <ns0:pStyle ns0:val="ListNumber"/>
      </ns0:pPr>
      <ns0:r>
        <ns0:t>Live export validation corrected an ownership-query assumption: HTTP liveness is derived from the scan-owned URL and `SERVES` relationship, and an empty filtered result is distinguished from an ownership-migration failure by checking the unfiltered ownership count.</ns0:t>
      </ns0:r>
    </ns0:p>
    <ns0:p xmlns:ns0="http://schemas.openxmlformats.org/wordprocessingml/2006/main">
      <ns0:pPr>
        <ns0:pStyle ns0:val="ListNumber"/>
      </ns0:pPr>
      <ns0:r>
        <ns0:t>HTTP-alive exports include the responding endpoint and status code, allowing the evaluation to verify the classification from stored evidence.</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