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ListNumber"/>
      </ns0:pPr>
      <ns0:r>
        <ns0:t>A live migration validation found and corrected a scan-ownership handler defect: counters could report accepted assets before per-scan ownership persistence succeeded. Exact results and export exposed the inconsistency; ownership is now written before counters are updated, with regression coverage. The affected historical run is excluded from exact export rather than guessed or backfilled.</ns0:t>
      </ns0:r>
    </ns0:p>
    <ns0:p xmlns:ns0="http://schemas.openxmlformats.org/wordprocessingml/2006/main">
      <ns0:pPr>
        <ns0:pStyle ns0:val="ListNumber"/>
      </ns0:pPr>
      <ns0:r>
        <ns0:t>Structured export supports an evidence-backed HTTP liveness view (`--alive http`), selecting domains with a scan-owned HTTP/HTTPS endpoint observation rather than treating passive discovery as proof of availability.</ns0:t>
      </ns0:r>
    </ns0:p>
    <ns0:p xmlns:ns0="http://schemas.openxmlformats.org/wordprocessingml/2006/main">
      <ns0:pPr>
        <ns0:pStyle ns0:val="ListNumber"/>
      </ns0:pPr>
      <ns0:r>
        <ns0:t>Live export validation corrected an ownership-query assumption: HTTP liveness is derived from the scan-owned URL and `SERVES` relationship, and an empty filtered result is distinguished from an ownership-migration failure by checking the unfiltered ownership count.</ns0:t>
      </ns0:r>
    </ns0:p>
    <ns0:p xmlns:ns0="http://schemas.openxmlformats.org/wordprocessingml/2006/main">
      <ns0:pPr>
        <ns0:pStyle ns0:val="ListNumber"/>
      </ns0:pPr>
      <ns0:r>
        <ns0:t>HTTP-alive exports include the responding endpoint and status code, allowing the evaluation to verify the classification from stored evidence.</ns0:t>
      </ns0:r>
    </ns0:p>
    <ns0:p xmlns:ns0="http://schemas.openxmlformats.org/wordprocessingml/2006/main">
      <ns0:pPr>
        <ns0:pStyle ns0:val="ListNumber"/>
      </ns0:pPr>
      <ns0:r>
        <ns0:t>DNS-alive exports provide one row per domain and permitted resolved address, distinguishing DNS liveness from HTTP liveness.</ns0:t>
      </ns0:r>
    </ns0:p>
    <ns0:p xmlns:ns0="http://schemas.openxmlformats.org/wordprocessingml/2006/main">
      <ns0:pPr>
        <ns0:pStyle ns0:val="ListNumber"/>
      </ns0:pPr>
      <ns0:r>
        <ns0:t>A controlled discovered-HTTP enrichment stage probes only in-scope names with successful DNS observations, producing auditable HTTP status and endpoint evidence for liveness evaluation.</ns0:t>
      </ns0:r>
    </ns0:p>
    <ns0:p xmlns:ns0="http://schemas.openxmlformats.org/wordprocessingml/2006/main">
      <ns0:pPr>
        <ns0:pStyle ns0:val="ListNumber"/>
      </ns0:pPr>
      <ns0:r>
        <ns0:t>Live testing showed that public DNS timeouts can leave the enrichment stage with no eligible names; the system reports these failures and safely sends no HTTP requests. Offline fixtures provide repeatable validation independent of external DNS conditions.</ns0:t>
      </ns0:r>
    </ns0:p>
    <ns0:p xmlns:ns0="http://schemas.openxmlformats.org/wordprocessingml/2006/main">
      <ns0:pPr>
        <ns0:pStyle ns0:val="ListNumber"/>
      </ns0:pPr>
      <ns0:r>
        <ns0:t>A simple reachability utility such as `httprobe` was evaluated conceptually but deferred as an adapter because Sh4q's native HTTP enrichment already supplies equivalent probing plus scope, redirect, budget, and evidence controls. Any future comparison will use identical controlled inputs and repeated measurements.</ns0:t>
      </ns0:r>
    </ns0:p>
    <ns0:p xmlns:ns0="http://schemas.openxmlformats.org/wordprocessingml/2006/main">
      <ns0:pPr>
        <ns0:pStyle ns0:val="ListNumber"/>
      </ns0:pPr>
      <ns0:r>
        <ns0:t>Technology fingerprinting is planned as a separate enrichment stage over scan-owned HTTP endpoints. Fingerprints will preserve technology, category, version, detection method, confidence, tool provenance, timestamp, and raw evidence reference, and will be treated as observations rather than definitive version claims. Candidate tools will be selected only after controlled comparison.</ns0:t>
      </ns0:r>
    </ns0:p>
    <ns0:p xmlns:ns0="http://schemas.openxmlformats.org/wordprocessingml/2006/main">
      <ns0:pPr>
        <ns0:pStyle ns0:val="ListNumber"/>
      </ns0:pPr>
      <ns0:r>
        <ns0:t>ProjectDiscovery `httpx` was selected as the first parser-only fingerprinting candidate because it supplies structured JSONL. The candidate remains disabled in live scans until scan-owned endpoint input, redirect containment, and request-control implications are validated.</ns0:t>
      </ns0:r>
    </ns0:p>
    <ns0:p xmlns:ns0="http://schemas.openxmlformats.org/wordprocessingml/2006/main">
      <ns0:pPr>
        <ns0:pStyle ns0:val="ListNumber"/>
      </ns0:pPr>
      <ns0:r>
        <ns0:t>Offline fingerprint-pipeline validation shows that in-scope observations create normalized technology nodes and provenance-bearing relationships, while out-of-scope output remains evidence but is rejected from trusted asset state.</ns0:t>
      </ns0:r>
    </ns0:p>
    <ns0:p xmlns:ns0="http://schemas.openxmlformats.org/wordprocessingml/2006/main">
      <ns0:pPr>
        <ns0:pStyle ns0:val="ListNumber"/>
      </ns0:pPr>
      <ns0:r>
        <ns0:t>Technology observations can be queried through the non-SQL results interface by exact scan or target, completing the presentation path before live fingerprint execution is introduced.</ns0:t>
      </ns0:r>
    </ns0:p>
    <ns0:p xmlns:ns0="http://schemas.openxmlformats.org/wordprocessingml/2006/main">
      <ns0:pPr>
        <ns0:pStyle ns0:val="ListNumber"/>
      </ns0:pPr>
      <ns0:r>
        <ns0:t>Fingerprint input selection is constrained to HTTP(S) endpoints owned by the selected scan and reauthorised through the scope engine; unrelated historical, unsupported-scheme, and out-of-scope URLs are excluded before adapter execution.</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