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and retained CT partial results.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Event dispatch failure handling and dead-letter states are incomplete. Configured request-rate and concurrency limits are not yet enforced. SQLite schema migration and CI are absent. Tests remain a mixture of assertions and older print-based scripts. Discovery breadth is intentionally limited. Gate 1 is functionally complete for the current DNS, HTTP, and CT paths, with follow-up hardening tracked in `architecture.md`.</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event failure recovery, rate limiting, request accounting, trusted-service networking, database hardening, CI, and formal evaluation. Add external-tool adapters only after these controls are complete.</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