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MSOBB_DOCX_WMF_CLEAN_SHELL_Q7N4K2_20260814</w:t>
      </w:r>
    </w:p>
    <w:p>
      <w:r>
        <w:t>The object below has one WMF Image Part and no raster, VML, preview, AlternateContent, or external relationship.</w:t>
      </w:r>
    </w:p>
    <w:p>
      <w:r>
        <w:drawing>
          <wp:inline distT="0" distB="0" distL="0" distR="0">
            <wp:extent cx="5943600" cy="3467100"/>
            <wp:effectExtent l="0" t="0" r="0" b="0"/>
            <wp:docPr id="1" name="MSOBB owned WMF vector control" descr="Rasterless WMF with exact owned text and geomet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SOBB-office-word-owned-vector-clean.wmf" descr="Exact owned WMF vector decoder discriminator"/>
                    <pic:cNvPicPr/>
                  </pic:nvPicPr>
                  <pic:blipFill>
                    <a:blip r:embed="rIdWmf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MSOBB_DOCX_WMF_CLEAN_SHELL_END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Wmf1" Type="http://schemas.openxmlformats.org/officeDocument/2006/relationships/image" Target="media/MSOBB-office-word-owned-vector-clean.wmf"/>
</Relationships>

</file>