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MSOBB_DOCX_EMF_MULTIFORMAT_GATE_Q6R8T2_20260814</w:t>
      </w:r>
    </w:p>
    <w:p>
      <w:r>
        <w:t>The object below has one rasterless EMF Image Part. Its ordinary EMF records and nested benign EPS representation carry different exact markers.</w:t>
      </w:r>
    </w:p>
    <w:p>
      <w:r>
        <w:drawing>
          <wp:inline distT="0" distB="0" distL="0" distR="0">
            <wp:extent cx="5943600" cy="3467100"/>
            <wp:effectExtent l="0" t="0" r="0" b="0"/>
            <wp:docPr id="1" name="MSOBB owned EMF multiformat control" descr="Rasterless EMF fallback plus inert EPS multiformat discrimin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OBB-office-word-emf-multiformat-clean.emf" descr="Exact owned EMF versus EPS representation discriminator"/>
                    <pic:cNvPicPr/>
                  </pic:nvPicPr>
                  <pic:blipFill>
                    <a:blip r:embed="rIdEm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MSOBB_DOCX_EMF_MULTIFORMAT_GATE_END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Emf1" Type="http://schemas.openxmlformats.org/officeDocument/2006/relationships/image" Target="media/MSOBB-office-word-emf-multiformat-clean.emf"/>
</Relationships>

</file>