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Weikersheim,</w:t>
      </w:r>
      <w:r>
        <w:t xml:space="preserve"> </w:t>
      </w:r>
      <w:r>
        <w:t xml:space="preserve">Residenzschloss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Redaktion</w:t>
      </w:r>
    </w:p>
    <w:p>
      <w:pPr>
        <w:pStyle w:val="Date"/>
      </w:pPr>
      <w:r>
        <w:t xml:space="preserve">2024-03-22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Xc3419fa05c40493e9ce0a2cd4cbae2b3d932199"/>
    <w:p>
      <w:pPr>
        <w:pStyle w:val="Heading1"/>
      </w:pPr>
      <w:r>
        <w:t xml:space="preserve">1. Katalog zur Ausstellung: Der Große Saal (Rittersaal)</w:t>
      </w:r>
    </w:p>
    <w:p>
      <w:pPr>
        <w:pStyle w:val="FirstParagraph"/>
      </w:pPr>
      <w:r>
        <w:t xml:space="preserve">Ein Katalog mit Kunstwerken aus der CbDD-Sammlung. Textteil:</w:t>
      </w:r>
      <w:r>
        <w:t xml:space="preserve"> </w:t>
      </w:r>
      <w:hyperlink r:id="rId20">
        <w:r>
          <w:rPr>
            <w:rStyle w:val="Hyperlink"/>
          </w:rPr>
          <w:t xml:space="preserve">6e73f774-4b7f-4e37-937b-e11cc35c5bc8</w:t>
        </w:r>
      </w:hyperlink>
    </w:p>
    <w:p>
      <w:pPr>
        <w:pStyle w:val="BodyText"/>
      </w:pPr>
      <w:r>
        <w:t xml:space="preserve">Der Große Saal (Rittersaal) [Raum]</w:t>
      </w:r>
    </w:p>
    <w:p>
      <w:pPr>
        <w:pStyle w:val="BodyText"/>
      </w:pPr>
      <w:r>
        <w:t xml:space="preserve"> </w:t>
      </w:r>
      <w:r>
        <w:t xml:space="preserve">This work is licensed under a</w:t>
      </w:r>
      <w:r>
        <w:t xml:space="preserve"> </w:t>
      </w:r>
      <w:r>
        <w:t xml:space="preserve">Creative Commons Attribution-NonCommercial-NoDerivs 4.0 International License</w:t>
      </w:r>
      <w:r>
        <w:t xml:space="preserve">.</w:t>
      </w:r>
    </w:p>
    <w:bookmarkEnd w:id="21"/>
    <w:bookmarkStart w:id="30" w:name="Xdde552f506f344a58e741856094f26df121058d"/>
    <w:p>
      <w:pPr>
        <w:pStyle w:val="Heading1"/>
      </w:pPr>
      <w:r>
        <w:t xml:space="preserve">2. Die Saaldecke der Renaissance von Balthasar Katzenberger</w:t>
      </w:r>
    </w:p>
    <w:p>
      <w:pPr>
        <w:pStyle w:val="FirstParagraph"/>
      </w:pPr>
      <w:r>
        <w:rPr>
          <w:b/>
          <w:bCs/>
        </w:rPr>
        <w:t xml:space="preserve">How to use your own text for processing</w:t>
      </w:r>
    </w:p>
    <w:p>
      <w:pPr>
        <w:pStyle w:val="Compact"/>
        <w:numPr>
          <w:ilvl w:val="0"/>
          <w:numId w:val="1001"/>
        </w:numPr>
      </w:pPr>
      <w:r>
        <w:t xml:space="preserve">Add a new Text item to the wikibase.</w:t>
      </w:r>
      <w:r>
        <w:t xml:space="preserve"> </w:t>
      </w:r>
      <w:hyperlink r:id="rId22">
        <w:r>
          <w:rPr>
            <w:rStyle w:val="Hyperlink"/>
          </w:rPr>
          <w:t xml:space="preserve">link to wikibase new item</w:t>
        </w:r>
      </w:hyperlink>
      <w:r>
        <w:t xml:space="preserve"> </w:t>
      </w:r>
      <w:r>
        <w:t xml:space="preserve">the item should contain the following statements:</w:t>
      </w:r>
    </w:p>
    <w:p>
      <w:pPr>
        <w:pStyle w:val="Compact"/>
        <w:numPr>
          <w:ilvl w:val="0"/>
          <w:numId w:val="1002"/>
        </w:numPr>
      </w:pPr>
      <w:r>
        <w:t xml:space="preserve">P57 (external link): link to the html file containing the new text</w:t>
      </w:r>
    </w:p>
    <w:p>
      <w:pPr>
        <w:pStyle w:val="Compact"/>
        <w:numPr>
          <w:ilvl w:val="0"/>
          <w:numId w:val="1002"/>
        </w:numPr>
      </w:pPr>
      <w:r>
        <w:t xml:space="preserve">P46 (kurator): Item of the curator. you may use an existing item like Q210 (Ulrike seeger) for test purposes</w:t>
      </w:r>
    </w:p>
    <w:p>
      <w:pPr>
        <w:pStyle w:val="Compact"/>
        <w:numPr>
          <w:ilvl w:val="0"/>
          <w:numId w:val="1002"/>
        </w:numPr>
      </w:pPr>
      <w:r>
        <w:t xml:space="preserve">P53 (license): Item of a license for the text. e.g Q203 (CC BY-NC-ND 4.0 DEED )</w:t>
      </w:r>
    </w:p>
    <w:p>
      <w:pPr>
        <w:pStyle w:val="Compact"/>
        <w:numPr>
          <w:ilvl w:val="0"/>
          <w:numId w:val="1002"/>
        </w:numPr>
      </w:pPr>
      <w:r>
        <w:t xml:space="preserve">P6 (is part of): set value to Q218 (Schlossanlage Weikersheim)</w:t>
      </w:r>
    </w:p>
    <w:p>
      <w:pPr>
        <w:numPr>
          <w:ilvl w:val="0"/>
          <w:numId w:val="1003"/>
        </w:numPr>
      </w:pPr>
      <w:r>
        <w:t xml:space="preserve">check if your new text item occurs in the list of selected text items:</w:t>
      </w:r>
      <w:r>
        <w:t xml:space="preserve"> </w:t>
      </w:r>
      <w:hyperlink r:id="rId23">
        <w:r>
          <w:rPr>
            <w:rStyle w:val="Hyperlink"/>
          </w:rPr>
          <w:t xml:space="preserve">Link to wikibase query service</w:t>
        </w:r>
      </w:hyperlink>
    </w:p>
    <w:p>
      <w:pPr>
        <w:numPr>
          <w:ilvl w:val="0"/>
          <w:numId w:val="1003"/>
        </w:numPr>
      </w:pPr>
      <w:r>
        <w:t xml:space="preserve">set parameter of get_text() to the id of your new text item e.g.: get_text(</w:t>
      </w:r>
      <w:r>
        <w:t xml:space="preserve">“</w:t>
      </w:r>
      <w:r>
        <w:t xml:space="preserve">Q209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Wikibase link:</w:t>
      </w:r>
      <w:r>
        <w:t xml:space="preserve"> </w:t>
      </w:r>
      <w:hyperlink r:id="rId24">
        <w:r>
          <w:rPr>
            <w:rStyle w:val="Hyperlink"/>
          </w:rPr>
          <w:t xml:space="preserve">https://computational-publishing-service.wikibase.cloud/entity/Q229</w:t>
        </w:r>
      </w:hyperlink>
    </w:p>
    <w:p>
      <w:pPr>
        <w:pStyle w:val="BodyText"/>
      </w:pPr>
      <w:r>
        <w:t xml:space="preserve">Kurator: Seeger, Ulrike</w:t>
      </w:r>
    </w:p>
    <w:p>
      <w:pPr>
        <w:pStyle w:val="BodyText"/>
      </w:pPr>
      <w:r>
        <w:t xml:space="preserve">b’</w:t>
      </w:r>
      <w:r>
        <w:t xml:space="preserve">&lt;!DOCTYPE 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Die Saaldecke der Renaissance von Balthasar Katzenberger</w:t>
      </w:r>
    </w:p>
    <w:p>
      <w:pPr>
        <w:pStyle w:val="BodyText"/>
      </w:pPr>
    </w:p>
    <w:p>
      <w:pPr>
        <w:pStyle w:val="BodyText"/>
      </w:pPr>
      <w:r>
        <w:t xml:space="preserve">Vertragsbedingungen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Der Vertrag zu den 69 Deckengemälden des Großen Saals zwischen</w:t>
      </w:r>
      <w:r>
        <w:t xml:space="preserve"> </w:t>
      </w:r>
      <w:r>
        <w:t xml:space="preserve">Graf Wolfgang und Balthasar Katzenberger hat sich erhalten.[1]</w:t>
      </w:r>
      <w:r>
        <w:t xml:space="preserve"> </w:t>
      </w:r>
      <w:r>
        <w:t xml:space="preserve">Darin wurde am 22. September 1601 festgelegt, dass der Maler Balthasar</w:t>
      </w:r>
      <w:r>
        <w:t xml:space="preserve"> </w:t>
      </w:r>
      <w:r>
        <w:t xml:space="preserve">Katzenberger aus Würzburg „Ihren gnaden [Graf Wolfgang]</w:t>
      </w:r>
      <w:r>
        <w:t xml:space="preserve"> </w:t>
      </w:r>
      <w:r>
        <w:t xml:space="preserve">die deckh im Neuen Saal mit Wasserfarb auff Tuech von allerlej Jagden,</w:t>
      </w:r>
      <w:r>
        <w:t xml:space="preserve"> </w:t>
      </w:r>
      <w:r>
        <w:t xml:space="preserve">Waydtwerkh und andern was Ire g. Ime jedesmals fürgeben und beuehlen</w:t>
      </w:r>
      <w:r>
        <w:t xml:space="preserve"> </w:t>
      </w:r>
      <w:r>
        <w:t xml:space="preserve">laßen, aufs schönst Säuberst, Künstlichstelichen und</w:t>
      </w:r>
      <w:r>
        <w:t xml:space="preserve"> </w:t>
      </w:r>
      <w:r>
        <w:t xml:space="preserve">frech aussehendt mallen soll, alle Simbs der gannzen Deckh sowoll auch</w:t>
      </w:r>
      <w:r>
        <w:t xml:space="preserve"> </w:t>
      </w:r>
      <w:r>
        <w:t xml:space="preserve">neben herrumb das Simbs alles mit brauner nus oder sonsten ein Dunckhel</w:t>
      </w:r>
      <w:r>
        <w:t xml:space="preserve"> </w:t>
      </w:r>
      <w:r>
        <w:t xml:space="preserve">holz färb, wie es Iren gnaden gefellig anstreichen“.[2]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Graf Wolfgang scheint sowohl das Thema der Jagd vorgegeben als auch die</w:t>
      </w:r>
      <w:r>
        <w:t xml:space="preserve"> </w:t>
      </w:r>
      <w:r>
        <w:t xml:space="preserve">zugehörigen druckgraphischen Vorlagen zur Verfügung gestellt zu</w:t>
      </w:r>
      <w:r>
        <w:t xml:space="preserve"> </w:t>
      </w:r>
      <w:r>
        <w:t xml:space="preserve">haben. Den Passus „allerlej Jagden, Waydtwerkh und andern was Ire g.</w:t>
      </w:r>
      <w:r>
        <w:t xml:space="preserve"> </w:t>
      </w:r>
      <w:r>
        <w:t xml:space="preserve">Ime jedesmals fürgeben und beuehlen laßen“ hat man</w:t>
      </w:r>
      <w:r>
        <w:t xml:space="preserve"> </w:t>
      </w:r>
      <w:r>
        <w:t xml:space="preserve">wahrscheinlich dahingehend zu deuten, dass der Auftraggeber in absehbarer</w:t>
      </w:r>
      <w:r>
        <w:t xml:space="preserve"> </w:t>
      </w:r>
      <w:r>
        <w:t xml:space="preserve">Zeit noch weitere Vorlagen liefern könnte. Die zur Anwendung gelangte</w:t>
      </w:r>
      <w:r>
        <w:t xml:space="preserve"> </w:t>
      </w:r>
      <w:r>
        <w:t xml:space="preserve">Technik „mit Wasserfarb auff Tuech“ scheint nur die zweite</w:t>
      </w:r>
      <w:r>
        <w:t xml:space="preserve"> </w:t>
      </w:r>
      <w:r>
        <w:t xml:space="preserve">Wahl gewesen zu sein. In den Vertrag wurde der Zusatz aufgenommen, dass,</w:t>
      </w:r>
      <w:r>
        <w:t xml:space="preserve"> </w:t>
      </w:r>
      <w:r>
        <w:t xml:space="preserve">sollte Graf Wolfgang sich doch noch für Ölfarben entscheiden, er</w:t>
      </w:r>
      <w:r>
        <w:t xml:space="preserve"> </w:t>
      </w:r>
      <w:r>
        <w:t xml:space="preserve">anstatt der vereinbarten 195 Gulden 260 Gulden zu zahlen habe, jeweils</w:t>
      </w:r>
      <w:r>
        <w:t xml:space="preserve"> </w:t>
      </w:r>
      <w:r>
        <w:t xml:space="preserve">zuzüglich der täglichen Verpflegung: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„Da [= Falls] es aber Ihren Gnaden gefellig wer solche deckh</w:t>
      </w:r>
      <w:r>
        <w:t xml:space="preserve"> </w:t>
      </w:r>
      <w:r>
        <w:t xml:space="preserve">mit öll färb zuverferttigen soll Ihme für seine belohnung</w:t>
      </w:r>
      <w:r>
        <w:t xml:space="preserve"> </w:t>
      </w:r>
      <w:r>
        <w:t xml:space="preserve">gegeben werden, Zway hundert und Sechzig gülden. Die Cost und Suppen</w:t>
      </w:r>
      <w:r>
        <w:t xml:space="preserve"> </w:t>
      </w:r>
      <w:r>
        <w:t xml:space="preserve">wie gemelt“.[3]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Laut Restaurierungsbericht malte Katzenberger in Leimfarben auf grober,</w:t>
      </w:r>
      <w:r>
        <w:t xml:space="preserve"> </w:t>
      </w:r>
      <w:r>
        <w:t xml:space="preserve">hellgelb grundierter Leinwand.[4] Erst Christian Thalwitzer, der</w:t>
      </w:r>
      <w:r>
        <w:t xml:space="preserve"> </w:t>
      </w:r>
      <w:r>
        <w:t xml:space="preserve">die Gemälde 1710/11 überarbeitete, verstärkte ihre</w:t>
      </w:r>
      <w:r>
        <w:t xml:space="preserve"> </w:t>
      </w:r>
      <w:r>
        <w:t xml:space="preserve">Leuchtkraft mit einer roten Grundierung und Ölfarben, was ebenfalls</w:t>
      </w:r>
      <w:r>
        <w:t xml:space="preserve"> </w:t>
      </w:r>
      <w:r>
        <w:t xml:space="preserve">die Restaurierung der Jahre 1982–1989 erbrachte. Eines der</w:t>
      </w:r>
      <w:r>
        <w:t xml:space="preserve"> </w:t>
      </w:r>
      <w:r>
        <w:t xml:space="preserve">quadratischen Gemälde (Q1) überliefert auf der Rückseite</w:t>
      </w:r>
      <w:r>
        <w:t xml:space="preserve"> </w:t>
      </w:r>
      <w:r>
        <w:t xml:space="preserve">die originale Maltechnik. Katzenberger hatte das Gemälde angelegt und</w:t>
      </w:r>
      <w:r>
        <w:t xml:space="preserve"> </w:t>
      </w:r>
      <w:r>
        <w:t xml:space="preserve">in der rechten Bildhälfte nahezu fertiggestellt, als sich für</w:t>
      </w:r>
      <w:r>
        <w:t xml:space="preserve"> </w:t>
      </w:r>
      <w:r>
        <w:t xml:space="preserve">die in der linken Bildhälfte angelegte Figur eine Änderung</w:t>
      </w:r>
      <w:r>
        <w:t xml:space="preserve"> </w:t>
      </w:r>
      <w:r>
        <w:t xml:space="preserve">ergab. Da Leimfarben schlecht decken, verzichtete er auf eine</w:t>
      </w:r>
      <w:r>
        <w:t xml:space="preserve"> </w:t>
      </w:r>
      <w:r>
        <w:t xml:space="preserve">Übermalung und drehte die Leinwand kurzerhand um.[5]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Die Gemälde entstanden in der Werkstatt, wobei für die</w:t>
      </w:r>
      <w:r>
        <w:t xml:space="preserve"> </w:t>
      </w:r>
      <w:r>
        <w:t xml:space="preserve">achteckigen Gemälde mit einer Höhe von 3,65 Metern ein</w:t>
      </w:r>
      <w:r>
        <w:t xml:space="preserve"> </w:t>
      </w:r>
      <w:r>
        <w:t xml:space="preserve">Gerüst gezimmert werden musste. Da der Vertrag zu Beginn der dunklen</w:t>
      </w:r>
      <w:r>
        <w:t xml:space="preserve"> </w:t>
      </w:r>
      <w:r>
        <w:t xml:space="preserve">Jahreszeit Ende September abgeschlossen wurde, legte Graf Wolfgang</w:t>
      </w:r>
      <w:r>
        <w:t xml:space="preserve"> </w:t>
      </w:r>
      <w:r>
        <w:t xml:space="preserve">vorsorglich fest, dass Katzenberger nur bei Tageslicht malen dürfe:</w:t>
      </w:r>
      <w:r>
        <w:t xml:space="preserve"> </w:t>
      </w:r>
      <w:r>
        <w:t xml:space="preserve">„In Summa solche Deckh wie gemelt [= wie oben vereinbart] er</w:t>
      </w:r>
      <w:r>
        <w:t xml:space="preserve"> </w:t>
      </w:r>
      <w:r>
        <w:t xml:space="preserve">selbsten alles bej tag und nit bej nacht aufs Künstlichst und</w:t>
      </w:r>
      <w:r>
        <w:t xml:space="preserve"> </w:t>
      </w:r>
      <w:r>
        <w:t xml:space="preserve">schönst machen und verferttigen“. Der Auftraggeber stellte die</w:t>
      </w:r>
      <w:r>
        <w:t xml:space="preserve"> </w:t>
      </w:r>
      <w:r>
        <w:t xml:space="preserve">Leinwand, die Farben, Gold und Steinöl für die Gesimse. Gemalt</w:t>
      </w:r>
      <w:r>
        <w:t xml:space="preserve"> </w:t>
      </w:r>
      <w:r>
        <w:t xml:space="preserve">hat Katzenberger die Bilder unter Aufsicht des Grafen in Weikersheim, da</w:t>
      </w:r>
      <w:r>
        <w:t xml:space="preserve"> </w:t>
      </w:r>
      <w:r>
        <w:t xml:space="preserve">sein Lohn neben den 195 Gulden aus morgendlicher und abendlicher</w:t>
      </w:r>
      <w:r>
        <w:t xml:space="preserve"> </w:t>
      </w:r>
      <w:r>
        <w:t xml:space="preserve">Verpflegung mit Brot und Suppe ohne Fleisch bestand.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Katzenberger benötigte für die Arbeit, die er ganz allein, also</w:t>
      </w:r>
      <w:r>
        <w:t xml:space="preserve"> </w:t>
      </w:r>
      <w:r>
        <w:t xml:space="preserve">ohne Kompagnon, nur mit Malergehilfen leistete, dreizehn Monate. Die</w:t>
      </w:r>
      <w:r>
        <w:t xml:space="preserve"> </w:t>
      </w:r>
      <w:r>
        <w:t xml:space="preserve">Fertigstellung quittierte er am 22. November 1602.[6] In die</w:t>
      </w:r>
      <w:r>
        <w:t xml:space="preserve"> </w:t>
      </w:r>
      <w:r>
        <w:t xml:space="preserve">zahlreichen Künstlersignaturen von Graf Wolfgangs</w:t>
      </w:r>
      <w:r>
        <w:t xml:space="preserve"> </w:t>
      </w:r>
      <w:r>
        <w:t xml:space="preserve">Renaissanceausstattung reihte er sich auf dem Achteck-Gemälde Nr. 13</w:t>
      </w:r>
      <w:r>
        <w:t xml:space="preserve"> </w:t>
      </w:r>
      <w:r>
        <w:t xml:space="preserve">ein, das sich knapp östlich der Mitte der Decke befindet.</w:t>
      </w:r>
      <w:r>
        <w:t xml:space="preserve"> </w:t>
      </w:r>
      <w:r>
        <w:t xml:space="preserve">Sinnfällig nutzte er das Thema der Wildkatzenjagd für ein</w:t>
      </w:r>
      <w:r>
        <w:t xml:space="preserve"> </w:t>
      </w:r>
      <w:r>
        <w:t xml:space="preserve">Selbstporträt mit Pinsel, Malstock und Palette. Rechts unten notierte</w:t>
      </w:r>
      <w:r>
        <w:t xml:space="preserve"> </w:t>
      </w:r>
      <w:r>
        <w:t xml:space="preserve">er in schwarzer Schrift: „Balthasar Katzenberger vo[n]</w:t>
      </w:r>
      <w:r>
        <w:t xml:space="preserve"> </w:t>
      </w:r>
      <w:r>
        <w:t xml:space="preserve">Wurtzburg maler hat diese gantze Decken in ⋅ 13 ⋅ monat alleins</w:t>
      </w:r>
      <w:r>
        <w:t xml:space="preserve"> </w:t>
      </w:r>
      <w:r>
        <w:t xml:space="preserve">gemalet 1602“.[7] Rechnet man sechs Arbeitstage pro Woche,</w:t>
      </w:r>
      <w:r>
        <w:t xml:space="preserve"> </w:t>
      </w:r>
      <w:r>
        <w:t xml:space="preserve">so entfallen fünf Tage auf ein Bild, wobei freilich die 12</w:t>
      </w:r>
      <w:r>
        <w:t xml:space="preserve"> </w:t>
      </w:r>
      <w:r>
        <w:t xml:space="preserve">Blumenbilder deutlich weniger Zeit in Anspruch nahmen als die 19</w:t>
      </w:r>
      <w:r>
        <w:t xml:space="preserve"> </w:t>
      </w:r>
      <w:r>
        <w:t xml:space="preserve">großen Achteckbilder.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Balthasar Katzenberger schuf für Schloss Weikersheim seine</w:t>
      </w:r>
      <w:r>
        <w:t xml:space="preserve"> </w:t>
      </w:r>
      <w:r>
        <w:t xml:space="preserve">umfangreichsten erhaltenen Werke. Über weitere Anhaltspunkte zu</w:t>
      </w:r>
      <w:r>
        <w:t xml:space="preserve"> </w:t>
      </w:r>
      <w:r>
        <w:t xml:space="preserve">seinem Oeuvre und seinem Lebensweg unterrichtet der Eintrag im Allgemeinen</w:t>
      </w:r>
      <w:r>
        <w:t xml:space="preserve"> </w:t>
      </w:r>
      <w:r>
        <w:t xml:space="preserve">Künstlerlexikon.[8]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How to select images for processing</w:t>
      </w:r>
    </w:p>
    <w:p>
      <w:pPr>
        <w:pStyle w:val="BodyText"/>
      </w:pPr>
      <w:r>
        <w:t xml:space="preserve">Images are selected via the sparql query. The method get_img() is capable of using a wikibase item id as parameter to select images with the property P6 (is part of) linking to the given item id.</w:t>
      </w:r>
    </w:p>
    <w:p>
      <w:pPr>
        <w:numPr>
          <w:ilvl w:val="0"/>
          <w:numId w:val="1004"/>
        </w:numPr>
      </w:pPr>
      <w:r>
        <w:t xml:space="preserve">select a valid location id from the query result:</w:t>
      </w:r>
      <w:r>
        <w:t xml:space="preserve"> </w:t>
      </w:r>
      <w:hyperlink r:id="rId25">
        <w:r>
          <w:rPr>
            <w:rStyle w:val="Hyperlink"/>
          </w:rPr>
          <w:t xml:space="preserve">Link to wikibase query service</w:t>
        </w:r>
      </w:hyperlink>
    </w:p>
    <w:p>
      <w:pPr>
        <w:numPr>
          <w:ilvl w:val="0"/>
          <w:numId w:val="1004"/>
        </w:numPr>
      </w:pPr>
      <w:r>
        <w:t xml:space="preserve">set parameter of get_img() to the id of your selected location item e.g.: get_img(</w:t>
      </w:r>
      <w:r>
        <w:t xml:space="preserve">“</w:t>
      </w:r>
      <w:r>
        <w:t xml:space="preserve">Q217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Wikibase link:</w:t>
      </w:r>
      <w:r>
        <w:t xml:space="preserve"> </w:t>
      </w:r>
      <w:hyperlink r:id="rId26">
        <w:r>
          <w:rPr>
            <w:rStyle w:val="Hyperlink"/>
          </w:rPr>
          <w:t xml:space="preserve">https://computational-publishing-service.wikibase.cloud/entity/Q230</w:t>
        </w:r>
      </w:hyperlink>
    </w:p>
    <w:p>
      <w:pPr>
        <w:pStyle w:val="BodyText"/>
      </w:pPr>
      <w:r>
        <w:t xml:space="preserve">Title: Ceiling Decoration of the Knights’ Hall – Eastern Part of the Ceiling</w:t>
      </w:r>
    </w:p>
    <w:p>
      <w:pPr>
        <w:pStyle w:val="BodyText"/>
      </w:pPr>
      <w:r>
        <w:t xml:space="preserve">Year: 2018</w:t>
      </w:r>
    </w:p>
    <w:p>
      <w:pPr>
        <w:pStyle w:val="BodyText"/>
      </w:pPr>
      <w:r>
        <w:t xml:space="preserve">Description: Balthasar Kazenberger, painter, 22.09.1601/22.11.1602 - Jan van der Straet, painter - Christian Thalwitzer, restorer, 1710/1711</w:t>
      </w:r>
    </w:p>
    <w:p>
      <w:pPr>
        <w:pStyle w:val="BodyText"/>
      </w:pPr>
      <w:r>
        <w:drawing>
          <wp:inline>
            <wp:extent cx="5334000" cy="355244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ection_files/figure-docx/cell-4-output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4" Target="https://computational-publishing-service.wikibase.cloud/entity/Q229" TargetMode="External" /><Relationship Type="http://schemas.openxmlformats.org/officeDocument/2006/relationships/hyperlink" Id="rId26" Target="https://computational-publishing-service.wikibase.cloud/entity/Q230" TargetMode="External" /><Relationship Type="http://schemas.openxmlformats.org/officeDocument/2006/relationships/hyperlink" Id="rId23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%3FtextItem%20%3FkuratorLabel%20%3FtextUrl%0AWHERE%0A%7B%0A%20%20%3FtextItem%20cpsp%3AP46%20%3FkuratorStatement.%20%0A%20%20%3FkuratorStatement%20cpsps%3AP46%20%3FkuratorItem.%20%0A%20%20%3FkuratorItem%20rdfs%3Alabel%20%3FkuratorLabel.%0A%20%20%3FtextItem%20cpsp%3AP57%20%3Furlstatement.%20%0A%20%20%3Furlstatement%20cpsps%3AP57%20%3FtextUrl.%20%0A%7D" TargetMode="External" /><Relationship Type="http://schemas.openxmlformats.org/officeDocument/2006/relationships/hyperlink" Id="rId25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DISTINCT%20%3FpartOfItem%20%3FpartOfItemLabel%0AWHERE%0A%7B%0A%20%20%3FimgItem%20cpsp%3AP107%20%3FurlStatement.%20%0A%20%20%3FurlStatement%20cpsps%3AP107%20%3FimgUrl.%20%0A%20%20%3FimgItem%20cpsp%3AP60%20%3FdateStatement.%20%0A%20%20%3FdateStatement%20cpsps%3AP60%20%3FpublishDate.%20%0A%20%20%3FimgItem%20cpsp%3AP6%20%3FpartOfStatement.%0A%20%20%3FpartOfStatement%20cpsps%3AP6%20%3FpartOfItem.%0A%20%20SERVICE%20wikibase%3Alabel%20%7B%0A%20%20%20%20%20%20bd%3AserviceParam%20wikibase%3Alanguage%20%22de%2Cen%22.%0A%20%20%20%20%20%20%3FpartOfItem%20rdfs%3Alabel%20%3FpartOfItemLabel.%0A%20%20%20%20%20%20%3FpartOfItem%20schema%3Adescription%20%3FpartOfItemDescr.%0A%20%20%20%20%7D%0A%7D%20GROUP%20BY%20%3FpartOfItem%20%3FpartOfItemLabel" TargetMode="External" /><Relationship Type="http://schemas.openxmlformats.org/officeDocument/2006/relationships/hyperlink" Id="rId22" Target="https://computational-publishing-service.wikibase.cloud/wiki/Special:NewItem" TargetMode="External" /><Relationship Type="http://schemas.openxmlformats.org/officeDocument/2006/relationships/hyperlink" Id="rId20" Target="https://www.deckenmalerei.eu/6e73f774-4b7f-4e37-937b-e11cc35c5bc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mputational-publishing-service.wikibase.cloud/entity/Q229" TargetMode="External" /><Relationship Type="http://schemas.openxmlformats.org/officeDocument/2006/relationships/hyperlink" Id="rId26" Target="https://computational-publishing-service.wikibase.cloud/entity/Q230" TargetMode="External" /><Relationship Type="http://schemas.openxmlformats.org/officeDocument/2006/relationships/hyperlink" Id="rId23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%3FtextItem%20%3FkuratorLabel%20%3FtextUrl%0AWHERE%0A%7B%0A%20%20%3FtextItem%20cpsp%3AP46%20%3FkuratorStatement.%20%0A%20%20%3FkuratorStatement%20cpsps%3AP46%20%3FkuratorItem.%20%0A%20%20%3FkuratorItem%20rdfs%3Alabel%20%3FkuratorLabel.%0A%20%20%3FtextItem%20cpsp%3AP57%20%3Furlstatement.%20%0A%20%20%3Furlstatement%20cpsps%3AP57%20%3FtextUrl.%20%0A%7D" TargetMode="External" /><Relationship Type="http://schemas.openxmlformats.org/officeDocument/2006/relationships/hyperlink" Id="rId25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DISTINCT%20%3FpartOfItem%20%3FpartOfItemLabel%0AWHERE%0A%7B%0A%20%20%3FimgItem%20cpsp%3AP107%20%3FurlStatement.%20%0A%20%20%3FurlStatement%20cpsps%3AP107%20%3FimgUrl.%20%0A%20%20%3FimgItem%20cpsp%3AP60%20%3FdateStatement.%20%0A%20%20%3FdateStatement%20cpsps%3AP60%20%3FpublishDate.%20%0A%20%20%3FimgItem%20cpsp%3AP6%20%3FpartOfStatement.%0A%20%20%3FpartOfStatement%20cpsps%3AP6%20%3FpartOfItem.%0A%20%20SERVICE%20wikibase%3Alabel%20%7B%0A%20%20%20%20%20%20bd%3AserviceParam%20wikibase%3Alanguage%20%22de%2Cen%22.%0A%20%20%20%20%20%20%3FpartOfItem%20rdfs%3Alabel%20%3FpartOfItemLabel.%0A%20%20%20%20%20%20%3FpartOfItem%20schema%3Adescription%20%3FpartOfItemDescr.%0A%20%20%20%20%7D%0A%7D%20GROUP%20BY%20%3FpartOfItem%20%3FpartOfItemLabel" TargetMode="External" /><Relationship Type="http://schemas.openxmlformats.org/officeDocument/2006/relationships/hyperlink" Id="rId22" Target="https://computational-publishing-service.wikibase.cloud/wiki/Special:NewItem" TargetMode="External" /><Relationship Type="http://schemas.openxmlformats.org/officeDocument/2006/relationships/hyperlink" Id="rId20" Target="https://www.deckenmalerei.eu/6e73f774-4b7f-4e37-937b-e11cc35c5bc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Weikersheim, Residenzschloss</dc:title>
  <dc:creator>Team Redaktion</dc:creator>
  <cp:keywords/>
  <dcterms:created xsi:type="dcterms:W3CDTF">2024-07-31T17:46:35Z</dcterms:created>
  <dcterms:modified xsi:type="dcterms:W3CDTF">2024-07-31T17:46:35Z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rossref">
    <vt:lpwstr/>
  </property>
  <property fmtid="{D5CDD505-2E9C-101B-9397-08002B2CF9AE}" pid="8" name="date">
    <vt:lpwstr>2024-03-22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