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A5F"/>
          <w:sz w:val="48"/>
        </w:rPr>
        <w:t>Plan de carrière - version essentielle</w:t>
      </w:r>
    </w:p>
    <w:p>
      <w:pPr>
        <w:spacing w:after="40"/>
      </w:pPr>
      <w:r>
        <w:rPr>
          <w:i w:val="0"/>
          <w:color w:val="555555"/>
          <w:sz w:val="24"/>
        </w:rPr>
        <w:t>Red Team Operator : Active Directory offensif, évasion des défenses et développement d'outils</w:t>
      </w:r>
    </w:p>
    <w:p>
      <w:pPr>
        <w:spacing w:after="120"/>
      </w:pPr>
      <w:r>
        <w:rPr>
          <w:i w:val="0"/>
          <w:color w:val="555555"/>
          <w:sz w:val="20"/>
        </w:rPr>
        <w:t>Période : octobre 2026 à l'été 2028  |  Version du 14 octobre 2026</w:t>
      </w:r>
    </w:p>
    <w:p>
      <w:r>
        <w:rPr>
          <w:i/>
          <w:color w:val="555555"/>
          <w:sz w:val="19"/>
        </w:rPr>
        <w:t>Cette version ne garde que ce qui sert à décider et à agir : l'ordre des formations, la semaine type, les labs retenus, les lacunes à combler, les risques et les dates de décision. Le détail complet (38 pages : notes de réalisme, comparatifs de prix, sources, créneaux horaires) reste dans le plan complet du même dossier. Convention : Confirmé = sourcé dans le plan complet ; Avis = jugement personnel ; Incertain = non vérifié. Le document ne contient aucun code ni aucune technique offensive.</w:t>
      </w:r>
    </w:p>
    <w:p>
      <w:pPr>
        <w:pStyle w:val="Heading1"/>
      </w:pPr>
      <w:r>
        <w:t>1. L'essentiel en huit points</w:t>
      </w:r>
    </w:p>
    <w:p>
      <w:pPr>
        <w:pStyle w:val="ListBullet"/>
        <w:spacing w:after="40"/>
      </w:pPr>
      <w:r>
        <w:rPr>
          <w:b/>
        </w:rPr>
        <w:t xml:space="preserve">Ton vrai déficit est le développement logiciel, pas l'Active Directory. </w:t>
      </w:r>
      <w:r>
        <w:t>OSCP, CRTP, CRTE et trois ans d'infrastructure te placent déjà au-dessus de la plupart des Pro Labs HackTheBox. Le C est la lacune qui conditionne tout le volet développement d'outils.</w:t>
      </w:r>
    </w:p>
    <w:p>
      <w:pPr>
        <w:pStyle w:val="ListBullet"/>
        <w:spacing w:after="40"/>
      </w:pPr>
      <w:r>
        <w:rPr>
          <w:b/>
        </w:rPr>
        <w:t xml:space="preserve">Garde la BSCP, plafonne-la à une seule reprise. </w:t>
      </w:r>
      <w:r>
        <w:t>Elle est peu alignée sur ton métier cible, mais l'examen est proche (début février 2027) et préparé.</w:t>
      </w:r>
    </w:p>
    <w:p>
      <w:pPr>
        <w:pStyle w:val="ListBullet"/>
        <w:spacing w:after="40"/>
      </w:pPr>
      <w:r>
        <w:rPr>
          <w:b/>
        </w:rPr>
        <w:t xml:space="preserve">Après la BSCP, fais le CRTO, pas un cours de développement. </w:t>
      </w:r>
      <w:r>
        <w:t>Il est déjà acheté et son examen est désormais noté sur la discrétion opérationnelle.</w:t>
      </w:r>
    </w:p>
    <w:p>
      <w:pPr>
        <w:pStyle w:val="ListBullet"/>
        <w:spacing w:after="40"/>
      </w:pPr>
      <w:r>
        <w:rPr>
          <w:b/>
        </w:rPr>
        <w:t xml:space="preserve">Ordre des accès de développement : </w:t>
      </w:r>
      <w:r>
        <w:t>Sektor7 Essentials (introduction courte), puis Maldev Academy (sans les doublons), puis EDR Internals, puis CRTL. « CRTO II » n'existe plus sous ce nom : c'est le cours Red Team Ops II, qui mène à la certification CRTL. CRTL et CETP se recoupent : vise l'une des deux, pas les deux.</w:t>
      </w:r>
    </w:p>
    <w:p>
      <w:pPr>
        <w:pStyle w:val="ListBullet"/>
        <w:spacing w:after="40"/>
      </w:pPr>
      <w:r>
        <w:rPr>
          <w:b/>
        </w:rPr>
        <w:t xml:space="preserve">Un cours, un lab et un projet logiciel ouverts à la fois, pas davantage. </w:t>
      </w:r>
      <w:r>
        <w:t>Avec environ 170 h de lab d'ici l'expiration de ton abonnement HackTheBox (8 octobre 2027), tu peux faire quelques labs courts, puis RastaLabs et Shinra en version plafonnée.</w:t>
      </w:r>
    </w:p>
    <w:p>
      <w:pPr>
        <w:pStyle w:val="ListBullet"/>
        <w:spacing w:after="40"/>
      </w:pPr>
      <w:r>
        <w:rPr>
          <w:b/>
        </w:rPr>
        <w:t xml:space="preserve">Abandonne l'OSINT hebdomadaire et remplace-le par du C. </w:t>
      </w:r>
      <w:r>
        <w:t>C'est le seul changement à appliquer dès maintenant.</w:t>
      </w:r>
    </w:p>
    <w:p>
      <w:pPr>
        <w:pStyle w:val="ListBullet"/>
        <w:spacing w:after="40"/>
      </w:pPr>
      <w:r>
        <w:rPr>
          <w:b/>
        </w:rPr>
        <w:t xml:space="preserve">Les write-ups publics de Pro Labs sont interdits par HackTheBox. </w:t>
      </w:r>
      <w:r>
        <w:t>Ton portfolio repose donc sur des rapports privés, deux projets logiciels publics et des articles méthodologiques.</w:t>
      </w:r>
    </w:p>
    <w:p>
      <w:pPr>
        <w:pStyle w:val="ListBullet"/>
        <w:spacing w:after="40"/>
      </w:pPr>
      <w:r>
        <w:rPr>
          <w:b/>
        </w:rPr>
        <w:t xml:space="preserve">Horizon réaliste à l'été 2028 : poste de pentesteur ou d'opérateur Red Team junior. </w:t>
      </w:r>
      <w:r>
        <w:t>Ton alternance ne t'apportera aucune expérience offensive. La spécialisation évasion et développement d'outils demande, à mon avis, trois à cinq ans de plus.</w:t>
      </w:r>
    </w:p>
    <w:p>
      <w:pPr>
        <w:pStyle w:val="Heading1"/>
      </w:pPr>
      <w:r>
        <w:t>2. Calendrier de référence</w:t>
      </w:r>
    </w:p>
    <w:p>
      <w:pPr>
        <w:jc w:val="center"/>
      </w:pPr>
      <w:r>
        <w:drawing>
          <wp:inline xmlns:a="http://schemas.openxmlformats.org/drawingml/2006/main" xmlns:pic="http://schemas.openxmlformats.org/drawingml/2006/picture">
            <wp:extent cx="5400000" cy="3154455"/>
            <wp:docPr id="1" name="Picture 1"/>
            <wp:cNvGraphicFramePr>
              <a:graphicFrameLocks noChangeAspect="1"/>
            </wp:cNvGraphicFramePr>
            <a:graphic>
              <a:graphicData uri="http://schemas.openxmlformats.org/drawingml/2006/picture">
                <pic:pic>
                  <pic:nvPicPr>
                    <pic:cNvPr id="0" name="7d3cd3e090f9c3c4c7af7ba2dad7bb39c22aced2.png"/>
                    <pic:cNvPicPr/>
                  </pic:nvPicPr>
                  <pic:blipFill>
                    <a:blip r:embed="rId9"/>
                    <a:stretch>
                      <a:fillRect/>
                    </a:stretch>
                  </pic:blipFill>
                  <pic:spPr>
                    <a:xfrm>
                      <a:off x="0" y="0"/>
                      <a:ext cx="5400000" cy="3154455"/>
                    </a:xfrm>
                    <a:prstGeom prst="rect"/>
                  </pic:spPr>
                </pic:pic>
              </a:graphicData>
            </a:graphic>
          </wp:inline>
        </w:drawing>
      </w:r>
    </w:p>
    <w:p>
      <w:r>
        <w:rPr>
          <w:i/>
          <w:color w:val="555555"/>
          <w:sz w:val="18"/>
        </w:rPr>
        <w:t>Calendrier d'octobre 2026 à l'été 2028 (avis). Les éléments hachurés sont conditionnels ou optionnels. D1 à D7 sont les points de décision de la section 6. L'abonnement HackTheBox expire le 8 octobre 2027.</w:t>
      </w:r>
    </w:p>
    <w:tbl>
      <w:tblPr>
        <w:tblStyle w:val="TableGrid"/>
        <w:jc w:val="center"/>
        <w:tblLayout w:type="fixed"/>
        <w:tblLook w:firstColumn="1" w:firstRow="1" w:lastColumn="0" w:lastRow="0" w:noHBand="0" w:noVBand="1" w:val="04A0"/>
        <w:tblLayout w:type="fixed"/>
        <w:tblW w:w="9639" w:type="dxa"/>
      </w:tblPr>
      <w:tblGrid>
        <w:gridCol w:w="1701"/>
        <w:gridCol w:w="2041"/>
        <w:gridCol w:w="3061"/>
        <w:gridCol w:w="2835"/>
      </w:tblGrid>
      <w:tr>
        <w:trPr>
          <w:tblHeader w:val="true"/>
        </w:trPr>
        <w:tc>
          <w:tcPr>
            <w:tcW w:type="dxa" w:w="1701"/>
            <w:shd w:val="clear" w:color="auto" w:fill="1F3A5F"/>
          </w:tcPr>
          <w:p>
            <w:r/>
            <w:r>
              <w:rPr>
                <w:b/>
                <w:color w:val="FFFFFF"/>
                <w:sz w:val="17"/>
              </w:rPr>
              <w:t>Semestre</w:t>
            </w:r>
          </w:p>
        </w:tc>
        <w:tc>
          <w:tcPr>
            <w:tcW w:type="dxa" w:w="2041"/>
            <w:shd w:val="clear" w:color="auto" w:fill="1F3A5F"/>
          </w:tcPr>
          <w:p>
            <w:r/>
            <w:r>
              <w:rPr>
                <w:b/>
                <w:color w:val="FFFFFF"/>
                <w:sz w:val="17"/>
              </w:rPr>
              <w:t>Objectif</w:t>
            </w:r>
          </w:p>
        </w:tc>
        <w:tc>
          <w:tcPr>
            <w:tcW w:type="dxa" w:w="3061"/>
            <w:shd w:val="clear" w:color="auto" w:fill="1F3A5F"/>
          </w:tcPr>
          <w:p>
            <w:r/>
            <w:r>
              <w:rPr>
                <w:b/>
                <w:color w:val="FFFFFF"/>
                <w:sz w:val="17"/>
              </w:rPr>
              <w:t>Formations et labs</w:t>
            </w:r>
          </w:p>
        </w:tc>
        <w:tc>
          <w:tcPr>
            <w:tcW w:type="dxa" w:w="2835"/>
            <w:shd w:val="clear" w:color="auto" w:fill="1F3A5F"/>
          </w:tcPr>
          <w:p>
            <w:r/>
            <w:r>
              <w:rPr>
                <w:b/>
                <w:color w:val="FFFFFF"/>
                <w:sz w:val="17"/>
              </w:rPr>
              <w:t>Livrables et critère de réussite</w:t>
            </w:r>
          </w:p>
        </w:tc>
      </w:tr>
      <w:tr>
        <w:trPr>
          <w:cantSplit w:val="true"/>
        </w:trPr>
        <w:tc>
          <w:tcPr>
            <w:tcW w:type="dxa" w:w="1701"/>
          </w:tcPr>
          <w:p>
            <w:pPr>
              <w:spacing w:after="0"/>
            </w:pPr>
            <w:r/>
            <w:r>
              <w:rPr>
                <w:b/>
                <w:sz w:val="17"/>
              </w:rPr>
              <w:t>S1 : oct. 2026 à janv. 2027</w:t>
            </w:r>
          </w:p>
        </w:tc>
        <w:tc>
          <w:tcPr>
            <w:tcW w:type="dxa" w:w="2041"/>
          </w:tcPr>
          <w:p>
            <w:pPr>
              <w:spacing w:after="0"/>
            </w:pPr>
            <w:r/>
            <w:r>
              <w:rPr>
                <w:sz w:val="17"/>
              </w:rPr>
              <w:t>Réussir la BSCP sans perdre le fil du C.</w:t>
            </w:r>
          </w:p>
        </w:tc>
        <w:tc>
          <w:tcPr>
            <w:tcW w:type="dxa" w:w="3061"/>
          </w:tcPr>
          <w:p>
            <w:pPr>
              <w:spacing w:after="0"/>
            </w:pPr>
            <w:r/>
            <w:r>
              <w:rPr>
                <w:sz w:val="17"/>
              </w:rPr>
              <w:t>BSCP. C et Sektor7 Essentials à 2 h 30 par semaine jusqu'à mi-décembre, puis pause. Labs : Push, Sidecar, un petit Mini Pro Lab.</w:t>
            </w:r>
          </w:p>
        </w:tc>
        <w:tc>
          <w:tcPr>
            <w:tcW w:type="dxa" w:w="2835"/>
          </w:tcPr>
          <w:p>
            <w:pPr>
              <w:spacing w:after="0"/>
            </w:pPr>
            <w:r/>
            <w:r>
              <w:rPr>
                <w:sz w:val="17"/>
              </w:rPr>
              <w:t>Deux examens blancs BSCP réussis avant fin janvier. Deux rapports de lab privés. Dépôt d'exercices en C avec tests.</w:t>
            </w:r>
          </w:p>
        </w:tc>
      </w:tr>
      <w:tr>
        <w:trPr>
          <w:cantSplit w:val="true"/>
        </w:trPr>
        <w:tc>
          <w:tcPr>
            <w:tcW w:type="dxa" w:w="1701"/>
          </w:tcPr>
          <w:p>
            <w:pPr>
              <w:spacing w:after="0"/>
            </w:pPr>
            <w:r/>
            <w:r>
              <w:rPr>
                <w:b/>
                <w:sz w:val="17"/>
              </w:rPr>
              <w:t>S2 : févr. à août 2027</w:t>
            </w:r>
          </w:p>
        </w:tc>
        <w:tc>
          <w:tcPr>
            <w:tcW w:type="dxa" w:w="2041"/>
          </w:tcPr>
          <w:p>
            <w:pPr>
              <w:spacing w:after="0"/>
            </w:pPr>
            <w:r/>
            <w:r>
              <w:rPr>
                <w:sz w:val="17"/>
              </w:rPr>
              <w:t>Opérer discrètement avec un C2 et finir les bases du développement.</w:t>
            </w:r>
          </w:p>
        </w:tc>
        <w:tc>
          <w:tcPr>
            <w:tcW w:type="dxa" w:w="3061"/>
          </w:tcPr>
          <w:p>
            <w:pPr>
              <w:spacing w:after="0"/>
            </w:pPr>
            <w:r/>
            <w:r>
              <w:rPr>
                <w:sz w:val="17"/>
              </w:rPr>
              <w:t>CRTO (examen en juin). RastaLabs, puis début de Shinra. Fin de Sektor7. Maldev Academy dès fin juin.</w:t>
            </w:r>
          </w:p>
        </w:tc>
        <w:tc>
          <w:tcPr>
            <w:tcW w:type="dxa" w:w="2835"/>
          </w:tcPr>
          <w:p>
            <w:pPr>
              <w:spacing w:after="0"/>
            </w:pPr>
            <w:r/>
            <w:r>
              <w:rPr>
                <w:sz w:val="17"/>
              </w:rPr>
              <w:t>CRTO obtenu avant fin juin. Rapport RastaLabs relu par un pair. Premier projet C public avec tests et intégration continue. Premier article de blog.</w:t>
            </w:r>
          </w:p>
        </w:tc>
      </w:tr>
      <w:tr>
        <w:trPr>
          <w:cantSplit w:val="true"/>
        </w:trPr>
        <w:tc>
          <w:tcPr>
            <w:tcW w:type="dxa" w:w="1701"/>
          </w:tcPr>
          <w:p>
            <w:pPr>
              <w:spacing w:after="0"/>
            </w:pPr>
            <w:r/>
            <w:r>
              <w:rPr>
                <w:b/>
                <w:sz w:val="17"/>
              </w:rPr>
              <w:t>S3 : sept. 2027 à janv. 2028</w:t>
            </w:r>
          </w:p>
        </w:tc>
        <w:tc>
          <w:tcPr>
            <w:tcW w:type="dxa" w:w="2041"/>
          </w:tcPr>
          <w:p>
            <w:pPr>
              <w:spacing w:after="0"/>
            </w:pPr>
            <w:r/>
            <w:r>
              <w:rPr>
                <w:sz w:val="17"/>
              </w:rPr>
              <w:t>Comprendre les défenses de l'intérieur.</w:t>
            </w:r>
          </w:p>
        </w:tc>
        <w:tc>
          <w:tcPr>
            <w:tcW w:type="dxa" w:w="3061"/>
          </w:tcPr>
          <w:p>
            <w:pPr>
              <w:spacing w:after="0"/>
            </w:pPr>
            <w:r/>
            <w:r>
              <w:rPr>
                <w:sz w:val="17"/>
              </w:rPr>
              <w:t>Fin de Maldev Academy. EDR Internals &amp; Development. Fin de Shinra avant le 8 octobre. Reverse engineering (OpenSecurityTraining2). Candidatures dès janvier.</w:t>
            </w:r>
          </w:p>
        </w:tc>
        <w:tc>
          <w:tcPr>
            <w:tcW w:type="dxa" w:w="2835"/>
          </w:tcPr>
          <w:p>
            <w:pPr>
              <w:spacing w:after="0"/>
            </w:pPr>
            <w:r/>
            <w:r>
              <w:rPr>
                <w:sz w:val="17"/>
              </w:rPr>
              <w:t>Deuxième projet logiciel. Notes sur l'architecture d'un EDR. Capacité d'expliquer à l'oral comment un EDR collecte sa télémétrie.</w:t>
            </w:r>
          </w:p>
        </w:tc>
      </w:tr>
      <w:tr>
        <w:trPr>
          <w:cantSplit w:val="true"/>
        </w:trPr>
        <w:tc>
          <w:tcPr>
            <w:tcW w:type="dxa" w:w="1701"/>
          </w:tcPr>
          <w:p>
            <w:pPr>
              <w:spacing w:after="0"/>
            </w:pPr>
            <w:r/>
            <w:r>
              <w:rPr>
                <w:b/>
                <w:sz w:val="17"/>
              </w:rPr>
              <w:t>S4 : févr. à été 2028</w:t>
            </w:r>
          </w:p>
        </w:tc>
        <w:tc>
          <w:tcPr>
            <w:tcW w:type="dxa" w:w="2041"/>
          </w:tcPr>
          <w:p>
            <w:pPr>
              <w:spacing w:after="0"/>
            </w:pPr>
            <w:r/>
            <w:r>
              <w:rPr>
                <w:sz w:val="17"/>
              </w:rPr>
              <w:t>Certifier l'évasion, finaliser le portfolio, trouver un poste.</w:t>
            </w:r>
          </w:p>
        </w:tc>
        <w:tc>
          <w:tcPr>
            <w:tcW w:type="dxa" w:w="3061"/>
          </w:tcPr>
          <w:p>
            <w:pPr>
              <w:spacing w:after="0"/>
            </w:pPr>
            <w:r/>
            <w:r>
              <w:rPr>
                <w:sz w:val="17"/>
              </w:rPr>
              <w:t>CRTL (cours et lab de février à avril, examen en avril ou mai). Lab complémentaire selon la décision D7.</w:t>
            </w:r>
          </w:p>
        </w:tc>
        <w:tc>
          <w:tcPr>
            <w:tcW w:type="dxa" w:w="2835"/>
          </w:tcPr>
          <w:p>
            <w:pPr>
              <w:spacing w:after="0"/>
            </w:pPr>
            <w:r/>
            <w:r>
              <w:rPr>
                <w:sz w:val="17"/>
              </w:rPr>
              <w:t>CRTL obtenu. Portfolio finalisé (deux projets, quatre articles). Au moins trois entretiens techniques avant juin 2028.</w:t>
            </w:r>
          </w:p>
        </w:tc>
      </w:tr>
    </w:tbl>
    <w:p>
      <w:pPr>
        <w:spacing w:after="40"/>
      </w:pPr>
    </w:p>
    <w:p>
      <w:pPr>
        <w:pStyle w:val="Heading1"/>
      </w:pPr>
      <w:r>
        <w:t>3. Ma semaine type</w:t>
      </w:r>
    </w:p>
    <w:p>
      <w:r>
        <w:rPr>
          <w:i w:val="0"/>
        </w:rPr>
        <w:t>Capacité réelle : environ 13 h par semaine en moyenne, soit 550 à 600 h utiles par an (avis). Semaine d'entreprise : 15 h. Semaine d'école : 9 h 30. Le dimanche reste libre dans toutes les phases. Les blocs du lundi au vendredi démarrent à 18 h et ne dépassent jamais 21 h ; le samedi commence à 9 h (hypothèse). À partir de mi-décembre, le mardi est consacré à la BSCP. Le schéma jour par jour avec les créneaux horaires est en annexe A.</w:t>
      </w:r>
    </w:p>
    <w:tbl>
      <w:tblPr>
        <w:tblStyle w:val="TableGrid"/>
        <w:jc w:val="center"/>
        <w:tblLayout w:type="fixed"/>
        <w:tblLook w:firstColumn="1" w:firstRow="1" w:lastColumn="0" w:lastRow="0" w:noHBand="0" w:noVBand="1" w:val="04A0"/>
        <w:tblLayout w:type="fixed"/>
        <w:tblW w:w="9639" w:type="dxa"/>
      </w:tblPr>
      <w:tblGrid>
        <w:gridCol w:w="2381"/>
        <w:gridCol w:w="3969"/>
        <w:gridCol w:w="3288"/>
      </w:tblGrid>
      <w:tr>
        <w:trPr>
          <w:tblHeader w:val="true"/>
        </w:trPr>
        <w:tc>
          <w:tcPr>
            <w:tcW w:type="dxa" w:w="2381"/>
            <w:shd w:val="clear" w:color="auto" w:fill="1F3A5F"/>
          </w:tcPr>
          <w:p>
            <w:r/>
            <w:r>
              <w:rPr>
                <w:b/>
                <w:color w:val="FFFFFF"/>
                <w:sz w:val="17"/>
              </w:rPr>
              <w:t>Phase</w:t>
            </w:r>
          </w:p>
        </w:tc>
        <w:tc>
          <w:tcPr>
            <w:tcW w:type="dxa" w:w="3969"/>
            <w:shd w:val="clear" w:color="auto" w:fill="1F3A5F"/>
          </w:tcPr>
          <w:p>
            <w:r/>
            <w:r>
              <w:rPr>
                <w:b/>
                <w:color w:val="FFFFFF"/>
                <w:sz w:val="17"/>
              </w:rPr>
              <w:t>Semaine d'entreprise (15 h)</w:t>
            </w:r>
          </w:p>
        </w:tc>
        <w:tc>
          <w:tcPr>
            <w:tcW w:type="dxa" w:w="3288"/>
            <w:shd w:val="clear" w:color="auto" w:fill="1F3A5F"/>
          </w:tcPr>
          <w:p>
            <w:r/>
            <w:r>
              <w:rPr>
                <w:b/>
                <w:color w:val="FFFFFF"/>
                <w:sz w:val="17"/>
              </w:rPr>
              <w:t>Semaine d'école (9 h 30)</w:t>
            </w:r>
          </w:p>
        </w:tc>
      </w:tr>
      <w:tr>
        <w:trPr>
          <w:cantSplit w:val="true"/>
        </w:trPr>
        <w:tc>
          <w:tcPr>
            <w:tcW w:type="dxa" w:w="2381"/>
          </w:tcPr>
          <w:p>
            <w:pPr>
              <w:spacing w:after="0"/>
            </w:pPr>
            <w:r/>
            <w:r>
              <w:rPr>
                <w:b/>
                <w:sz w:val="17"/>
              </w:rPr>
              <w:t>Oct. à mi-déc. 2026</w:t>
            </w:r>
          </w:p>
        </w:tc>
        <w:tc>
          <w:tcPr>
            <w:tcW w:type="dxa" w:w="3969"/>
          </w:tcPr>
          <w:p>
            <w:pPr>
              <w:spacing w:after="0"/>
            </w:pPr>
            <w:r/>
            <w:r>
              <w:rPr>
                <w:sz w:val="17"/>
              </w:rPr>
              <w:t>BSCP 6 h, lab 5 h, C et Sektor7 2 h 30, école 1 h, revue 30 min</w:t>
            </w:r>
          </w:p>
        </w:tc>
        <w:tc>
          <w:tcPr>
            <w:tcW w:type="dxa" w:w="3288"/>
          </w:tcPr>
          <w:p>
            <w:pPr>
              <w:spacing w:after="0"/>
            </w:pPr>
            <w:r/>
            <w:r>
              <w:rPr>
                <w:sz w:val="17"/>
              </w:rPr>
              <w:t>BSCP 4 h, lab 3 h, C 1 h, école 1 h, revue 30 min</w:t>
            </w:r>
          </w:p>
        </w:tc>
      </w:tr>
      <w:tr>
        <w:trPr>
          <w:cantSplit w:val="true"/>
        </w:trPr>
        <w:tc>
          <w:tcPr>
            <w:tcW w:type="dxa" w:w="2381"/>
          </w:tcPr>
          <w:p>
            <w:pPr>
              <w:spacing w:after="0"/>
            </w:pPr>
            <w:r/>
            <w:r>
              <w:rPr>
                <w:b/>
                <w:sz w:val="17"/>
              </w:rPr>
              <w:t>Mi-déc. 2026 à début févr. 2027 (BSCP)</w:t>
            </w:r>
          </w:p>
        </w:tc>
        <w:tc>
          <w:tcPr>
            <w:tcW w:type="dxa" w:w="3969"/>
          </w:tcPr>
          <w:p>
            <w:pPr>
              <w:spacing w:after="0"/>
            </w:pPr>
            <w:r/>
            <w:r>
              <w:rPr>
                <w:sz w:val="17"/>
              </w:rPr>
              <w:t>BSCP 8 h 30, lab 5 h (arrêt 3 semaines avant l'examen), école 1 h, revue 30 min</w:t>
            </w:r>
          </w:p>
        </w:tc>
        <w:tc>
          <w:tcPr>
            <w:tcW w:type="dxa" w:w="3288"/>
          </w:tcPr>
          <w:p>
            <w:pPr>
              <w:spacing w:after="0"/>
            </w:pPr>
            <w:r/>
            <w:r>
              <w:rPr>
                <w:sz w:val="17"/>
              </w:rPr>
              <w:t>BSCP 6 h, lab 2 h, école 1 h, revue 30 min</w:t>
            </w:r>
          </w:p>
        </w:tc>
      </w:tr>
      <w:tr>
        <w:trPr>
          <w:cantSplit w:val="true"/>
        </w:trPr>
        <w:tc>
          <w:tcPr>
            <w:tcW w:type="dxa" w:w="2381"/>
          </w:tcPr>
          <w:p>
            <w:pPr>
              <w:spacing w:after="0"/>
            </w:pPr>
            <w:r/>
            <w:r>
              <w:rPr>
                <w:b/>
                <w:sz w:val="17"/>
              </w:rPr>
              <w:t>Mi-févr. à juin 2027 (CRTO)</w:t>
            </w:r>
          </w:p>
        </w:tc>
        <w:tc>
          <w:tcPr>
            <w:tcW w:type="dxa" w:w="3969"/>
          </w:tcPr>
          <w:p>
            <w:pPr>
              <w:spacing w:after="0"/>
            </w:pPr>
            <w:r/>
            <w:r>
              <w:rPr>
                <w:sz w:val="17"/>
              </w:rPr>
              <w:t>CRTO 4 h, lab 5 h, C et Sektor7 4 h, rédaction 1 h, école 30 min, revue 30 min</w:t>
            </w:r>
          </w:p>
        </w:tc>
        <w:tc>
          <w:tcPr>
            <w:tcW w:type="dxa" w:w="3288"/>
          </w:tcPr>
          <w:p>
            <w:pPr>
              <w:spacing w:after="0"/>
            </w:pPr>
            <w:r/>
            <w:r>
              <w:rPr>
                <w:sz w:val="17"/>
              </w:rPr>
              <w:t>CRTO 3 h, lab 3 h, C 2 h, rédaction 30 min, école 30 min, revue 30 min</w:t>
            </w:r>
          </w:p>
        </w:tc>
      </w:tr>
      <w:tr>
        <w:trPr>
          <w:cantSplit w:val="true"/>
        </w:trPr>
        <w:tc>
          <w:tcPr>
            <w:tcW w:type="dxa" w:w="2381"/>
          </w:tcPr>
          <w:p>
            <w:pPr>
              <w:spacing w:after="0"/>
            </w:pPr>
            <w:r/>
            <w:r>
              <w:rPr>
                <w:b/>
                <w:sz w:val="17"/>
              </w:rPr>
              <w:t>Juil. 2027 à janv. 2028 (Maldev, EDR)</w:t>
            </w:r>
          </w:p>
        </w:tc>
        <w:tc>
          <w:tcPr>
            <w:tcW w:type="dxa" w:w="3969"/>
          </w:tcPr>
          <w:p>
            <w:pPr>
              <w:spacing w:after="0"/>
            </w:pPr>
            <w:r/>
            <w:r>
              <w:rPr>
                <w:sz w:val="17"/>
              </w:rPr>
              <w:t>Cours 4 h, lab 5 h, projet 2 h, reverse engineering 2 h, rédaction 1 h, revue 1 h</w:t>
            </w:r>
          </w:p>
        </w:tc>
        <w:tc>
          <w:tcPr>
            <w:tcW w:type="dxa" w:w="3288"/>
          </w:tcPr>
          <w:p>
            <w:pPr>
              <w:spacing w:after="0"/>
            </w:pPr>
            <w:r/>
            <w:r>
              <w:rPr>
                <w:sz w:val="17"/>
              </w:rPr>
              <w:t>Cours 3 h, lab 3 h, projet 1 h 30, reverse engineering 1 h, revue 1 h</w:t>
            </w:r>
          </w:p>
        </w:tc>
      </w:tr>
      <w:tr>
        <w:trPr>
          <w:cantSplit w:val="true"/>
        </w:trPr>
        <w:tc>
          <w:tcPr>
            <w:tcW w:type="dxa" w:w="2381"/>
          </w:tcPr>
          <w:p>
            <w:pPr>
              <w:spacing w:after="0"/>
            </w:pPr>
            <w:r/>
            <w:r>
              <w:rPr>
                <w:b/>
                <w:sz w:val="17"/>
              </w:rPr>
              <w:t>Févr. à été 2028 (CRTL)</w:t>
            </w:r>
          </w:p>
        </w:tc>
        <w:tc>
          <w:tcPr>
            <w:tcW w:type="dxa" w:w="3969"/>
          </w:tcPr>
          <w:p>
            <w:pPr>
              <w:spacing w:after="0"/>
            </w:pPr>
            <w:r/>
            <w:r>
              <w:rPr>
                <w:sz w:val="17"/>
              </w:rPr>
              <w:t>CRTL 4 h, lab 5 h, projet 3 h, reverse engineering 1 h, rédaction et candidatures 1 h 30, revue 30 min</w:t>
            </w:r>
          </w:p>
        </w:tc>
        <w:tc>
          <w:tcPr>
            <w:tcW w:type="dxa" w:w="3288"/>
          </w:tcPr>
          <w:p>
            <w:pPr>
              <w:spacing w:after="0"/>
            </w:pPr>
            <w:r/>
            <w:r>
              <w:rPr>
                <w:sz w:val="17"/>
              </w:rPr>
              <w:t>CRTL 3 h, lab 3 h, projet 2 h, candidatures 1 h, revue 30 min</w:t>
            </w:r>
          </w:p>
        </w:tc>
      </w:tr>
    </w:tbl>
    <w:p>
      <w:pPr>
        <w:spacing w:after="40"/>
      </w:pPr>
    </w:p>
    <w:p>
      <w:r>
        <w:rPr>
          <w:i/>
          <w:sz w:val="19"/>
        </w:rPr>
        <w:t>Si l'école dépasse 1 h par semaine en moyenne, c'est le lab qui cède en premier, jamais le projet logiciel.</w:t>
      </w:r>
    </w:p>
    <w:p>
      <w:pPr>
        <w:pStyle w:val="Heading1"/>
      </w:pPr>
      <w:r>
        <w:t>4. Labs à pratiquer</w:t>
      </w:r>
    </w:p>
    <w:p>
      <w:r>
        <w:rPr>
          <w:i w:val="0"/>
        </w:rPr>
        <w:t>Base de calcul (avis) : 5 h de lab par semaine en entreprise et 3 h à l'école, soit 18 à 20 h par mois. Un lab à la fois. Rapports de lab toujours privés (règle HackTheBox).</w:t>
      </w:r>
    </w:p>
    <w:tbl>
      <w:tblPr>
        <w:tblStyle w:val="TableGrid"/>
        <w:jc w:val="center"/>
        <w:tblLayout w:type="fixed"/>
        <w:tblLook w:firstColumn="1" w:firstRow="1" w:lastColumn="0" w:lastRow="0" w:noHBand="0" w:noVBand="1" w:val="04A0"/>
        <w:tblLayout w:type="fixed"/>
        <w:tblW w:w="9639" w:type="dxa"/>
      </w:tblPr>
      <w:tblGrid>
        <w:gridCol w:w="1927"/>
        <w:gridCol w:w="2154"/>
        <w:gridCol w:w="1474"/>
        <w:gridCol w:w="4082"/>
      </w:tblGrid>
      <w:tr>
        <w:trPr>
          <w:tblHeader w:val="true"/>
        </w:trPr>
        <w:tc>
          <w:tcPr>
            <w:tcW w:type="dxa" w:w="1928"/>
            <w:shd w:val="clear" w:color="auto" w:fill="1F3A5F"/>
          </w:tcPr>
          <w:p>
            <w:r/>
            <w:r>
              <w:rPr>
                <w:b/>
                <w:color w:val="FFFFFF"/>
                <w:sz w:val="17"/>
              </w:rPr>
              <w:t>Période</w:t>
            </w:r>
          </w:p>
        </w:tc>
        <w:tc>
          <w:tcPr>
            <w:tcW w:type="dxa" w:w="2154"/>
            <w:shd w:val="clear" w:color="auto" w:fill="1F3A5F"/>
          </w:tcPr>
          <w:p>
            <w:r/>
            <w:r>
              <w:rPr>
                <w:b/>
                <w:color w:val="FFFFFF"/>
                <w:sz w:val="17"/>
              </w:rPr>
              <w:t>Lab</w:t>
            </w:r>
          </w:p>
        </w:tc>
        <w:tc>
          <w:tcPr>
            <w:tcW w:type="dxa" w:w="1474"/>
            <w:shd w:val="clear" w:color="auto" w:fill="1F3A5F"/>
          </w:tcPr>
          <w:p>
            <w:r/>
            <w:r>
              <w:rPr>
                <w:b/>
                <w:color w:val="FFFFFF"/>
                <w:sz w:val="17"/>
              </w:rPr>
              <w:t>Heures (avis)</w:t>
            </w:r>
          </w:p>
        </w:tc>
        <w:tc>
          <w:tcPr>
            <w:tcW w:type="dxa" w:w="4082"/>
            <w:shd w:val="clear" w:color="auto" w:fill="1F3A5F"/>
          </w:tcPr>
          <w:p>
            <w:r/>
            <w:r>
              <w:rPr>
                <w:b/>
                <w:color w:val="FFFFFF"/>
                <w:sz w:val="17"/>
              </w:rPr>
              <w:t>Pourquoi / condition</w:t>
            </w:r>
          </w:p>
        </w:tc>
      </w:tr>
      <w:tr>
        <w:trPr>
          <w:cantSplit w:val="true"/>
        </w:trPr>
        <w:tc>
          <w:tcPr>
            <w:tcW w:type="dxa" w:w="1928"/>
          </w:tcPr>
          <w:p>
            <w:pPr>
              <w:spacing w:after="0"/>
            </w:pPr>
            <w:r/>
            <w:r>
              <w:rPr>
                <w:b/>
                <w:sz w:val="17"/>
              </w:rPr>
              <w:t>Oct. 2026</w:t>
            </w:r>
          </w:p>
        </w:tc>
        <w:tc>
          <w:tcPr>
            <w:tcW w:type="dxa" w:w="2154"/>
          </w:tcPr>
          <w:p>
            <w:pPr>
              <w:spacing w:after="0"/>
            </w:pPr>
            <w:r/>
            <w:r>
              <w:rPr>
                <w:sz w:val="17"/>
              </w:rPr>
              <w:t>Push (HTB)</w:t>
            </w:r>
          </w:p>
        </w:tc>
        <w:tc>
          <w:tcPr>
            <w:tcW w:type="dxa" w:w="1474"/>
          </w:tcPr>
          <w:p>
            <w:pPr>
              <w:spacing w:after="0"/>
            </w:pPr>
            <w:r/>
            <w:r>
              <w:rPr>
                <w:sz w:val="17"/>
              </w:rPr>
              <w:t>15 à 25</w:t>
            </w:r>
          </w:p>
        </w:tc>
        <w:tc>
          <w:tcPr>
            <w:tcW w:type="dxa" w:w="4082"/>
          </w:tcPr>
          <w:p>
            <w:pPr>
              <w:spacing w:after="0"/>
            </w:pPr>
            <w:r/>
            <w:r>
              <w:rPr>
                <w:sz w:val="17"/>
              </w:rPr>
              <w:t>ClickOnce, SCCM, ADCS : angles peu couverts par le CRTE. Format court, compatible BSCP.</w:t>
            </w:r>
          </w:p>
        </w:tc>
      </w:tr>
      <w:tr>
        <w:trPr>
          <w:cantSplit w:val="true"/>
        </w:trPr>
        <w:tc>
          <w:tcPr>
            <w:tcW w:type="dxa" w:w="1928"/>
          </w:tcPr>
          <w:p>
            <w:pPr>
              <w:spacing w:after="0"/>
            </w:pPr>
            <w:r/>
            <w:r>
              <w:rPr>
                <w:b/>
                <w:sz w:val="17"/>
              </w:rPr>
              <w:t>Nov. à mi-déc. 2026</w:t>
            </w:r>
          </w:p>
        </w:tc>
        <w:tc>
          <w:tcPr>
            <w:tcW w:type="dxa" w:w="2154"/>
          </w:tcPr>
          <w:p>
            <w:pPr>
              <w:spacing w:after="0"/>
            </w:pPr>
            <w:r/>
            <w:r>
              <w:rPr>
                <w:sz w:val="17"/>
              </w:rPr>
              <w:t>Sidecar (HTB)</w:t>
            </w:r>
          </w:p>
        </w:tc>
        <w:tc>
          <w:tcPr>
            <w:tcW w:type="dxa" w:w="1474"/>
          </w:tcPr>
          <w:p>
            <w:pPr>
              <w:spacing w:after="0"/>
            </w:pPr>
            <w:r/>
            <w:r>
              <w:rPr>
                <w:sz w:val="17"/>
              </w:rPr>
              <w:t>15 à 25</w:t>
            </w:r>
          </w:p>
        </w:tc>
        <w:tc>
          <w:tcPr>
            <w:tcW w:type="dxa" w:w="4082"/>
          </w:tcPr>
          <w:p>
            <w:pPr>
              <w:spacing w:after="0"/>
            </w:pPr>
            <w:r/>
            <w:r>
              <w:rPr>
                <w:sz w:val="17"/>
              </w:rPr>
              <w:t>Infrastructure à clés publiques et persistance par certificats.</w:t>
            </w:r>
          </w:p>
        </w:tc>
      </w:tr>
      <w:tr>
        <w:trPr>
          <w:cantSplit w:val="true"/>
        </w:trPr>
        <w:tc>
          <w:tcPr>
            <w:tcW w:type="dxa" w:w="1928"/>
          </w:tcPr>
          <w:p>
            <w:pPr>
              <w:spacing w:after="0"/>
            </w:pPr>
            <w:r/>
            <w:r>
              <w:rPr>
                <w:b/>
                <w:sz w:val="17"/>
              </w:rPr>
              <w:t>Mi-déc. 2026 à début janv. 2027</w:t>
            </w:r>
          </w:p>
        </w:tc>
        <w:tc>
          <w:tcPr>
            <w:tcW w:type="dxa" w:w="2154"/>
          </w:tcPr>
          <w:p>
            <w:pPr>
              <w:spacing w:after="0"/>
            </w:pPr>
            <w:r/>
            <w:r>
              <w:rPr>
                <w:sz w:val="17"/>
              </w:rPr>
              <w:t>Reflection ou Tengu (HTB)</w:t>
            </w:r>
          </w:p>
        </w:tc>
        <w:tc>
          <w:tcPr>
            <w:tcW w:type="dxa" w:w="1474"/>
          </w:tcPr>
          <w:p>
            <w:pPr>
              <w:spacing w:after="0"/>
            </w:pPr>
            <w:r/>
            <w:r>
              <w:rPr>
                <w:sz w:val="17"/>
              </w:rPr>
              <w:t>6 à 15</w:t>
            </w:r>
          </w:p>
        </w:tc>
        <w:tc>
          <w:tcPr>
            <w:tcW w:type="dxa" w:w="4082"/>
          </w:tcPr>
          <w:p>
            <w:pPr>
              <w:spacing w:after="0"/>
            </w:pPr>
            <w:r/>
            <w:r>
              <w:rPr>
                <w:sz w:val="17"/>
              </w:rPr>
              <w:t>Arrêt total du lab trois semaines avant l'examen BSCP.</w:t>
            </w:r>
          </w:p>
        </w:tc>
      </w:tr>
      <w:tr>
        <w:trPr>
          <w:cantSplit w:val="true"/>
        </w:trPr>
        <w:tc>
          <w:tcPr>
            <w:tcW w:type="dxa" w:w="1928"/>
          </w:tcPr>
          <w:p>
            <w:pPr>
              <w:spacing w:after="0"/>
            </w:pPr>
            <w:r/>
            <w:r>
              <w:rPr>
                <w:b/>
                <w:sz w:val="17"/>
              </w:rPr>
              <w:t>Mi-févr. à mai 2027</w:t>
            </w:r>
          </w:p>
        </w:tc>
        <w:tc>
          <w:tcPr>
            <w:tcW w:type="dxa" w:w="2154"/>
          </w:tcPr>
          <w:p>
            <w:pPr>
              <w:spacing w:after="0"/>
            </w:pPr>
            <w:r/>
            <w:r>
              <w:rPr>
                <w:sz w:val="17"/>
              </w:rPr>
              <w:t>RastaLabs (HTB)</w:t>
            </w:r>
          </w:p>
        </w:tc>
        <w:tc>
          <w:tcPr>
            <w:tcW w:type="dxa" w:w="1474"/>
          </w:tcPr>
          <w:p>
            <w:pPr>
              <w:spacing w:after="0"/>
            </w:pPr>
            <w:r/>
            <w:r>
              <w:rPr>
                <w:sz w:val="17"/>
              </w:rPr>
              <w:t>55 à 65 (plafond 60)</w:t>
            </w:r>
          </w:p>
        </w:tc>
        <w:tc>
          <w:tcPr>
            <w:tcW w:type="dxa" w:w="4082"/>
          </w:tcPr>
          <w:p>
            <w:pPr>
              <w:spacing w:after="0"/>
            </w:pPr>
            <w:r/>
            <w:r>
              <w:rPr>
                <w:sz w:val="17"/>
              </w:rPr>
              <w:t>Utilisateurs simulés confirmés ; accès initial et opération en réseau. Version plafonnée (durée complète : 80 à 100 h).</w:t>
            </w:r>
          </w:p>
        </w:tc>
      </w:tr>
      <w:tr>
        <w:trPr>
          <w:cantSplit w:val="true"/>
        </w:trPr>
        <w:tc>
          <w:tcPr>
            <w:tcW w:type="dxa" w:w="1928"/>
          </w:tcPr>
          <w:p>
            <w:pPr>
              <w:spacing w:after="0"/>
            </w:pPr>
            <w:r/>
            <w:r>
              <w:rPr>
                <w:b/>
                <w:sz w:val="17"/>
              </w:rPr>
              <w:t>Juin à sept. 2027</w:t>
            </w:r>
          </w:p>
        </w:tc>
        <w:tc>
          <w:tcPr>
            <w:tcW w:type="dxa" w:w="2154"/>
          </w:tcPr>
          <w:p>
            <w:pPr>
              <w:spacing w:after="0"/>
            </w:pPr>
            <w:r/>
            <w:r>
              <w:rPr>
                <w:sz w:val="17"/>
              </w:rPr>
              <w:t>Shinra (HTB)</w:t>
            </w:r>
          </w:p>
        </w:tc>
        <w:tc>
          <w:tcPr>
            <w:tcW w:type="dxa" w:w="1474"/>
          </w:tcPr>
          <w:p>
            <w:pPr>
              <w:spacing w:after="0"/>
            </w:pPr>
            <w:r/>
            <w:r>
              <w:rPr>
                <w:sz w:val="17"/>
              </w:rPr>
              <w:t>60 à 70 (plafond 65)</w:t>
            </w:r>
          </w:p>
        </w:tc>
        <w:tc>
          <w:tcPr>
            <w:tcW w:type="dxa" w:w="4082"/>
          </w:tcPr>
          <w:p>
            <w:pPr>
              <w:spacing w:after="0"/>
            </w:pPr>
            <w:r/>
            <w:r>
              <w:rPr>
                <w:sz w:val="17"/>
              </w:rPr>
              <w:t>EDR sur tous les postes et SOC permanent : le plus aligné sur l'évasion. À finir avant le 8 octobre 2027.</w:t>
            </w:r>
          </w:p>
        </w:tc>
      </w:tr>
      <w:tr>
        <w:trPr>
          <w:cantSplit w:val="true"/>
        </w:trPr>
        <w:tc>
          <w:tcPr>
            <w:tcW w:type="dxa" w:w="1928"/>
          </w:tcPr>
          <w:p>
            <w:pPr>
              <w:spacing w:after="0"/>
            </w:pPr>
            <w:r/>
            <w:r>
              <w:rPr>
                <w:b/>
                <w:sz w:val="17"/>
              </w:rPr>
              <w:t>Oct. à déc. 2027</w:t>
            </w:r>
          </w:p>
        </w:tc>
        <w:tc>
          <w:tcPr>
            <w:tcW w:type="dxa" w:w="2154"/>
          </w:tcPr>
          <w:p>
            <w:pPr>
              <w:spacing w:after="0"/>
            </w:pPr>
            <w:r/>
            <w:r>
              <w:rPr>
                <w:sz w:val="17"/>
              </w:rPr>
              <w:t>Ifrit (HTB)</w:t>
            </w:r>
          </w:p>
        </w:tc>
        <w:tc>
          <w:tcPr>
            <w:tcW w:type="dxa" w:w="1474"/>
          </w:tcPr>
          <w:p>
            <w:pPr>
              <w:spacing w:after="0"/>
            </w:pPr>
            <w:r/>
            <w:r>
              <w:rPr>
                <w:sz w:val="17"/>
              </w:rPr>
              <w:t>40 à 60</w:t>
            </w:r>
          </w:p>
        </w:tc>
        <w:tc>
          <w:tcPr>
            <w:tcW w:type="dxa" w:w="4082"/>
          </w:tcPr>
          <w:p>
            <w:pPr>
              <w:spacing w:after="0"/>
            </w:pPr>
            <w:r/>
            <w:r>
              <w:rPr>
                <w:sz w:val="17"/>
              </w:rPr>
              <w:t>Seulement si l'abonnement est renouvelé (décision D5) ; sinon construction du banc Ludus avec Elastic Defend (gratuit).</w:t>
            </w:r>
          </w:p>
        </w:tc>
      </w:tr>
      <w:tr>
        <w:trPr>
          <w:cantSplit w:val="true"/>
        </w:trPr>
        <w:tc>
          <w:tcPr>
            <w:tcW w:type="dxa" w:w="1928"/>
          </w:tcPr>
          <w:p>
            <w:pPr>
              <w:spacing w:after="0"/>
            </w:pPr>
            <w:r/>
            <w:r>
              <w:rPr>
                <w:b/>
                <w:sz w:val="17"/>
              </w:rPr>
              <w:t>Févr. à mai 2028</w:t>
            </w:r>
          </w:p>
        </w:tc>
        <w:tc>
          <w:tcPr>
            <w:tcW w:type="dxa" w:w="2154"/>
          </w:tcPr>
          <w:p>
            <w:pPr>
              <w:spacing w:after="0"/>
            </w:pPr>
            <w:r/>
            <w:r>
              <w:rPr>
                <w:sz w:val="17"/>
              </w:rPr>
              <w:t>Lab Red Team Ops II (CRTL)</w:t>
            </w:r>
          </w:p>
        </w:tc>
        <w:tc>
          <w:tcPr>
            <w:tcW w:type="dxa" w:w="1474"/>
          </w:tcPr>
          <w:p>
            <w:pPr>
              <w:spacing w:after="0"/>
            </w:pPr>
            <w:r/>
            <w:r>
              <w:rPr>
                <w:sz w:val="17"/>
              </w:rPr>
              <w:t>60 à 80</w:t>
            </w:r>
          </w:p>
        </w:tc>
        <w:tc>
          <w:tcPr>
            <w:tcW w:type="dxa" w:w="4082"/>
          </w:tcPr>
          <w:p>
            <w:pPr>
              <w:spacing w:after="0"/>
            </w:pPr>
            <w:r/>
            <w:r>
              <w:rPr>
                <w:sz w:val="17"/>
              </w:rPr>
              <w:t>Indispensable si tu choisis le CRTL. Prix actuel du lab incertain.</w:t>
            </w:r>
          </w:p>
        </w:tc>
      </w:tr>
      <w:tr>
        <w:trPr>
          <w:cantSplit w:val="true"/>
        </w:trPr>
        <w:tc>
          <w:tcPr>
            <w:tcW w:type="dxa" w:w="1928"/>
          </w:tcPr>
          <w:p>
            <w:pPr>
              <w:spacing w:after="0"/>
            </w:pPr>
            <w:r/>
            <w:r>
              <w:rPr>
                <w:b/>
                <w:sz w:val="17"/>
              </w:rPr>
              <w:t>Mai à juin 2028</w:t>
            </w:r>
          </w:p>
        </w:tc>
        <w:tc>
          <w:tcPr>
            <w:tcW w:type="dxa" w:w="2154"/>
          </w:tcPr>
          <w:p>
            <w:pPr>
              <w:spacing w:after="0"/>
            </w:pPr>
            <w:r/>
            <w:r>
              <w:rPr>
                <w:sz w:val="17"/>
              </w:rPr>
              <w:t>Lab CETP, CARTP ou Cybernetics</w:t>
            </w:r>
          </w:p>
        </w:tc>
        <w:tc>
          <w:tcPr>
            <w:tcW w:type="dxa" w:w="1474"/>
          </w:tcPr>
          <w:p>
            <w:pPr>
              <w:spacing w:after="0"/>
            </w:pPr>
            <w:r/>
            <w:r>
              <w:rPr>
                <w:sz w:val="17"/>
              </w:rPr>
              <w:t>40 à 80</w:t>
            </w:r>
          </w:p>
        </w:tc>
        <w:tc>
          <w:tcPr>
            <w:tcW w:type="dxa" w:w="4082"/>
          </w:tcPr>
          <w:p>
            <w:pPr>
              <w:spacing w:after="0"/>
            </w:pPr>
            <w:r/>
            <w:r>
              <w:rPr>
                <w:sz w:val="17"/>
              </w:rPr>
              <w:t>Optionnel, selon la décision D7. CARTP seul élargit ton profil au cloud (Entra ID, Azure).</w:t>
            </w:r>
          </w:p>
        </w:tc>
      </w:tr>
    </w:tbl>
    <w:p>
      <w:pPr>
        <w:spacing w:after="40"/>
      </w:pPr>
    </w:p>
    <w:p>
      <w:r>
        <w:rPr>
          <w:b/>
        </w:rPr>
        <w:t xml:space="preserve">À éviter : </w:t>
      </w:r>
      <w:r>
        <w:rPr>
          <w:i w:val="0"/>
        </w:rPr>
      </w:r>
      <w:r>
        <w:t>Dante, Genesis, Wreath et Hololive (trop faciles) ; Zephyr, Offshore, CRTA et CAPE (redondants avec CRTP et CRTE) ; Proving Grounds Practice (orienté CTF) ; Alchemy et Wanderer (hors axe) ; OSEP, cours Sektor7 suivants et cours XINTRA (redondants avec tes achats). Aucun achat non prévu au plan avant le prochain point de décision.</w:t>
      </w:r>
    </w:p>
    <w:p>
      <w:pPr>
        <w:pStyle w:val="Heading1"/>
      </w:pPr>
      <w:r>
        <w:t>5. Combler chaque lacune</w:t>
      </w:r>
    </w:p>
    <w:tbl>
      <w:tblPr>
        <w:tblStyle w:val="TableGrid"/>
        <w:jc w:val="center"/>
        <w:tblLayout w:type="fixed"/>
        <w:tblLook w:firstColumn="1" w:firstRow="1" w:lastColumn="0" w:lastRow="0" w:noHBand="0" w:noVBand="1" w:val="04A0"/>
        <w:tblLayout w:type="fixed"/>
        <w:tblW w:w="9639" w:type="dxa"/>
      </w:tblPr>
      <w:tblGrid>
        <w:gridCol w:w="1644"/>
        <w:gridCol w:w="3742"/>
        <w:gridCol w:w="1814"/>
        <w:gridCol w:w="2438"/>
      </w:tblGrid>
      <w:tr>
        <w:trPr>
          <w:tblHeader w:val="true"/>
        </w:trPr>
        <w:tc>
          <w:tcPr>
            <w:tcW w:type="dxa" w:w="1644"/>
            <w:shd w:val="clear" w:color="auto" w:fill="1F3A5F"/>
          </w:tcPr>
          <w:p>
            <w:r/>
            <w:r>
              <w:rPr>
                <w:b/>
                <w:color w:val="FFFFFF"/>
                <w:sz w:val="17"/>
              </w:rPr>
              <w:t>Lacune</w:t>
            </w:r>
          </w:p>
        </w:tc>
        <w:tc>
          <w:tcPr>
            <w:tcW w:type="dxa" w:w="3742"/>
            <w:shd w:val="clear" w:color="auto" w:fill="1F3A5F"/>
          </w:tcPr>
          <w:p>
            <w:r/>
            <w:r>
              <w:rPr>
                <w:b/>
                <w:color w:val="FFFFFF"/>
                <w:sz w:val="17"/>
              </w:rPr>
              <w:t>Comment</w:t>
            </w:r>
          </w:p>
        </w:tc>
        <w:tc>
          <w:tcPr>
            <w:tcW w:type="dxa" w:w="1814"/>
            <w:shd w:val="clear" w:color="auto" w:fill="1F3A5F"/>
          </w:tcPr>
          <w:p>
            <w:r/>
            <w:r>
              <w:rPr>
                <w:b/>
                <w:color w:val="FFFFFF"/>
                <w:sz w:val="17"/>
              </w:rPr>
              <w:t>Temps</w:t>
            </w:r>
          </w:p>
        </w:tc>
        <w:tc>
          <w:tcPr>
            <w:tcW w:type="dxa" w:w="2438"/>
            <w:shd w:val="clear" w:color="auto" w:fill="1F3A5F"/>
          </w:tcPr>
          <w:p>
            <w:r/>
            <w:r>
              <w:rPr>
                <w:b/>
                <w:color w:val="FFFFFF"/>
                <w:sz w:val="17"/>
              </w:rPr>
              <w:t>Preuve attendue</w:t>
            </w:r>
          </w:p>
        </w:tc>
      </w:tr>
      <w:tr>
        <w:trPr>
          <w:cantSplit w:val="true"/>
        </w:trPr>
        <w:tc>
          <w:tcPr>
            <w:tcW w:type="dxa" w:w="1644"/>
          </w:tcPr>
          <w:p>
            <w:pPr>
              <w:spacing w:after="0"/>
            </w:pPr>
            <w:r/>
            <w:r>
              <w:rPr>
                <w:b/>
                <w:sz w:val="17"/>
              </w:rPr>
              <w:t>Génie logiciel</w:t>
            </w:r>
          </w:p>
        </w:tc>
        <w:tc>
          <w:tcPr>
            <w:tcW w:type="dxa" w:w="3742"/>
          </w:tcPr>
          <w:p>
            <w:pPr>
              <w:spacing w:after="0"/>
            </w:pPr>
            <w:r/>
            <w:r>
              <w:rPr>
                <w:sz w:val="17"/>
              </w:rPr>
              <w:t>C d'abord, puis sous-ensemble de C++ moderne (Rust après 2028). Documentation Win32. Avertissements maximaux, analyse statique, tests unitaires, intégration continue.</w:t>
            </w:r>
          </w:p>
        </w:tc>
        <w:tc>
          <w:tcPr>
            <w:tcW w:type="dxa" w:w="1814"/>
          </w:tcPr>
          <w:p>
            <w:pPr>
              <w:spacing w:after="0"/>
            </w:pPr>
            <w:r/>
            <w:r>
              <w:rPr>
                <w:sz w:val="17"/>
              </w:rPr>
              <w:t>2 h 30 jusqu'à mi-déc. 2026, pause, puis 4 h dès mi-févr. 2027</w:t>
            </w:r>
          </w:p>
        </w:tc>
        <w:tc>
          <w:tcPr>
            <w:tcW w:type="dxa" w:w="2438"/>
          </w:tcPr>
          <w:p>
            <w:pPr>
              <w:spacing w:after="0"/>
            </w:pPr>
            <w:r/>
            <w:r>
              <w:rPr>
                <w:sz w:val="17"/>
              </w:rPr>
              <w:t>Deux projets publics non offensifs ou orientés détection, avec tests, documentation et historique lisible.</w:t>
            </w:r>
          </w:p>
        </w:tc>
      </w:tr>
      <w:tr>
        <w:trPr>
          <w:cantSplit w:val="true"/>
        </w:trPr>
        <w:tc>
          <w:tcPr>
            <w:tcW w:type="dxa" w:w="1644"/>
          </w:tcPr>
          <w:p>
            <w:pPr>
              <w:spacing w:after="0"/>
            </w:pPr>
            <w:r/>
            <w:r>
              <w:rPr>
                <w:b/>
                <w:sz w:val="17"/>
              </w:rPr>
              <w:t>Reverse engineering</w:t>
            </w:r>
          </w:p>
        </w:tc>
        <w:tc>
          <w:tcPr>
            <w:tcW w:type="dxa" w:w="3742"/>
          </w:tcPr>
          <w:p>
            <w:pPr>
              <w:spacing w:after="0"/>
            </w:pPr>
            <w:r/>
            <w:r>
              <w:rPr>
                <w:sz w:val="17"/>
              </w:rPr>
              <w:t>OpenSecurityTraining2 (gratuit), Ghidra, x64dbg, crackmes.</w:t>
            </w:r>
          </w:p>
        </w:tc>
        <w:tc>
          <w:tcPr>
            <w:tcW w:type="dxa" w:w="1814"/>
          </w:tcPr>
          <w:p>
            <w:pPr>
              <w:spacing w:after="0"/>
            </w:pPr>
            <w:r/>
            <w:r>
              <w:rPr>
                <w:sz w:val="17"/>
              </w:rPr>
              <w:t>2 h de juil. 2027 à janv. 2028, puis 1 h</w:t>
            </w:r>
          </w:p>
        </w:tc>
        <w:tc>
          <w:tcPr>
            <w:tcW w:type="dxa" w:w="2438"/>
          </w:tcPr>
          <w:p>
            <w:pPr>
              <w:spacing w:after="0"/>
            </w:pPr>
            <w:r/>
            <w:r>
              <w:rPr>
                <w:sz w:val="17"/>
              </w:rPr>
              <w:t>Six analyses écrites ; suivre un composant d'EDR Internals dans un débogueur.</w:t>
            </w:r>
          </w:p>
        </w:tc>
      </w:tr>
      <w:tr>
        <w:trPr>
          <w:cantSplit w:val="true"/>
        </w:trPr>
        <w:tc>
          <w:tcPr>
            <w:tcW w:type="dxa" w:w="1644"/>
          </w:tcPr>
          <w:p>
            <w:pPr>
              <w:spacing w:after="0"/>
            </w:pPr>
            <w:r/>
            <w:r>
              <w:rPr>
                <w:b/>
                <w:sz w:val="17"/>
              </w:rPr>
              <w:t>Rapports et notes de synthèse</w:t>
            </w:r>
          </w:p>
        </w:tc>
        <w:tc>
          <w:tcPr>
            <w:tcW w:type="dxa" w:w="3742"/>
          </w:tcPr>
          <w:p>
            <w:pPr>
              <w:spacing w:after="0"/>
            </w:pPr>
            <w:r/>
            <w:r>
              <w:rPr>
                <w:sz w:val="17"/>
              </w:rPr>
              <w:t>Modèle de rapport type client, SysReptor (offre gratuite à contrôler). Une note de synthèse de deux pages par mois pour un décideur.</w:t>
            </w:r>
          </w:p>
        </w:tc>
        <w:tc>
          <w:tcPr>
            <w:tcW w:type="dxa" w:w="1814"/>
          </w:tcPr>
          <w:p>
            <w:pPr>
              <w:spacing w:after="0"/>
            </w:pPr>
            <w:r/>
            <w:r>
              <w:rPr>
                <w:sz w:val="17"/>
              </w:rPr>
              <w:t>1 h</w:t>
            </w:r>
          </w:p>
        </w:tc>
        <w:tc>
          <w:tcPr>
            <w:tcW w:type="dxa" w:w="2438"/>
          </w:tcPr>
          <w:p>
            <w:pPr>
              <w:spacing w:after="0"/>
            </w:pPr>
            <w:r/>
            <w:r>
              <w:rPr>
                <w:sz w:val="17"/>
              </w:rPr>
              <w:t>Quatre rapports relus d'ici août 2027 (privés) ; une note par mois relue par ton tuteur.</w:t>
            </w:r>
          </w:p>
        </w:tc>
      </w:tr>
      <w:tr>
        <w:trPr>
          <w:cantSplit w:val="true"/>
        </w:trPr>
        <w:tc>
          <w:tcPr>
            <w:tcW w:type="dxa" w:w="1644"/>
          </w:tcPr>
          <w:p>
            <w:pPr>
              <w:spacing w:after="0"/>
            </w:pPr>
            <w:r/>
            <w:r>
              <w:rPr>
                <w:b/>
                <w:sz w:val="17"/>
              </w:rPr>
              <w:t>OPSEC</w:t>
            </w:r>
          </w:p>
        </w:tc>
        <w:tc>
          <w:tcPr>
            <w:tcW w:type="dxa" w:w="3742"/>
          </w:tcPr>
          <w:p>
            <w:pPr>
              <w:spacing w:after="0"/>
            </w:pPr>
            <w:r/>
            <w:r>
              <w:rPr>
                <w:sz w:val="17"/>
              </w:rPr>
              <w:t>Examen CRTO, banc Ludus avec Elastic Defend, règles de détection publiques (Elastic, Sigma, MITRE ATT&amp;CK).</w:t>
            </w:r>
          </w:p>
        </w:tc>
        <w:tc>
          <w:tcPr>
            <w:tcW w:type="dxa" w:w="1814"/>
          </w:tcPr>
          <w:p>
            <w:pPr>
              <w:spacing w:after="0"/>
            </w:pPr>
            <w:r/>
            <w:r>
              <w:rPr>
                <w:sz w:val="17"/>
              </w:rPr>
              <w:t>Intégré au lab, environ 1 h</w:t>
            </w:r>
          </w:p>
        </w:tc>
        <w:tc>
          <w:tcPr>
            <w:tcW w:type="dxa" w:w="2438"/>
          </w:tcPr>
          <w:p>
            <w:pPr>
              <w:spacing w:after="0"/>
            </w:pPr>
            <w:r/>
            <w:r>
              <w:rPr>
                <w:sz w:val="17"/>
              </w:rPr>
              <w:t>Journal de détection pour chaque lab dès Shinra : ce que la défense a vu, ce qu'elle aurait pu voir.</w:t>
            </w:r>
          </w:p>
        </w:tc>
      </w:tr>
    </w:tbl>
    <w:p>
      <w:pPr>
        <w:spacing w:after="40"/>
      </w:pPr>
    </w:p>
    <w:p>
      <w:pPr>
        <w:pStyle w:val="Heading1"/>
      </w:pPr>
      <w:r>
        <w:t>6. Points de décision datés</w:t>
      </w:r>
    </w:p>
    <w:tbl>
      <w:tblPr>
        <w:tblStyle w:val="TableGrid"/>
        <w:jc w:val="center"/>
        <w:tblLayout w:type="fixed"/>
        <w:tblLook w:firstColumn="1" w:firstRow="1" w:lastColumn="0" w:lastRow="0" w:noHBand="0" w:noVBand="1" w:val="04A0"/>
        <w:tblLayout w:type="fixed"/>
        <w:tblW w:w="9639" w:type="dxa"/>
      </w:tblPr>
      <w:tblGrid>
        <w:gridCol w:w="680"/>
        <w:gridCol w:w="1474"/>
        <w:gridCol w:w="3061"/>
        <w:gridCol w:w="4422"/>
      </w:tblGrid>
      <w:tr>
        <w:trPr>
          <w:tblHeader w:val="true"/>
        </w:trPr>
        <w:tc>
          <w:tcPr>
            <w:tcW w:type="dxa" w:w="680"/>
            <w:shd w:val="clear" w:color="auto" w:fill="1F3A5F"/>
          </w:tcPr>
          <w:p>
            <w:r/>
            <w:r>
              <w:rPr>
                <w:b/>
                <w:color w:val="FFFFFF"/>
                <w:sz w:val="17"/>
              </w:rPr>
              <w:t>Code</w:t>
            </w:r>
          </w:p>
        </w:tc>
        <w:tc>
          <w:tcPr>
            <w:tcW w:type="dxa" w:w="1474"/>
            <w:shd w:val="clear" w:color="auto" w:fill="1F3A5F"/>
          </w:tcPr>
          <w:p>
            <w:r/>
            <w:r>
              <w:rPr>
                <w:b/>
                <w:color w:val="FFFFFF"/>
                <w:sz w:val="17"/>
              </w:rPr>
              <w:t>Date</w:t>
            </w:r>
          </w:p>
        </w:tc>
        <w:tc>
          <w:tcPr>
            <w:tcW w:type="dxa" w:w="3061"/>
            <w:shd w:val="clear" w:color="auto" w:fill="1F3A5F"/>
          </w:tcPr>
          <w:p>
            <w:r/>
            <w:r>
              <w:rPr>
                <w:b/>
                <w:color w:val="FFFFFF"/>
                <w:sz w:val="17"/>
              </w:rPr>
              <w:t>Décision</w:t>
            </w:r>
          </w:p>
        </w:tc>
        <w:tc>
          <w:tcPr>
            <w:tcW w:type="dxa" w:w="4422"/>
            <w:shd w:val="clear" w:color="auto" w:fill="1F3A5F"/>
          </w:tcPr>
          <w:p>
            <w:r/>
            <w:r>
              <w:rPr>
                <w:b/>
                <w:color w:val="FFFFFF"/>
                <w:sz w:val="17"/>
              </w:rPr>
              <w:t>Option par défaut (avis)</w:t>
            </w:r>
          </w:p>
        </w:tc>
      </w:tr>
      <w:tr>
        <w:trPr>
          <w:cantSplit w:val="true"/>
        </w:trPr>
        <w:tc>
          <w:tcPr>
            <w:tcW w:type="dxa" w:w="680"/>
          </w:tcPr>
          <w:p>
            <w:pPr>
              <w:spacing w:after="0"/>
            </w:pPr>
            <w:r/>
            <w:r>
              <w:rPr>
                <w:b/>
                <w:sz w:val="17"/>
              </w:rPr>
              <w:t>D1</w:t>
            </w:r>
          </w:p>
        </w:tc>
        <w:tc>
          <w:tcPr>
            <w:tcW w:type="dxa" w:w="1474"/>
          </w:tcPr>
          <w:p>
            <w:pPr>
              <w:spacing w:after="0"/>
            </w:pPr>
            <w:r/>
            <w:r>
              <w:rPr>
                <w:sz w:val="17"/>
              </w:rPr>
              <w:t>Fin nov. 2026</w:t>
            </w:r>
          </w:p>
        </w:tc>
        <w:tc>
          <w:tcPr>
            <w:tcW w:type="dxa" w:w="3061"/>
          </w:tcPr>
          <w:p>
            <w:pPr>
              <w:spacing w:after="0"/>
            </w:pPr>
            <w:r/>
            <w:r>
              <w:rPr>
                <w:sz w:val="17"/>
              </w:rPr>
              <w:t>Maintenir l'examen BSCP en février ?</w:t>
            </w:r>
          </w:p>
        </w:tc>
        <w:tc>
          <w:tcPr>
            <w:tcW w:type="dxa" w:w="4422"/>
          </w:tcPr>
          <w:p>
            <w:pPr>
              <w:spacing w:after="0"/>
            </w:pPr>
            <w:r/>
            <w:r>
              <w:rPr>
                <w:sz w:val="17"/>
              </w:rPr>
              <w:t>Oui si un examen blanc est réussi dans le temps imparti ; sinon décaler d'un mois au plus.</w:t>
            </w:r>
          </w:p>
        </w:tc>
      </w:tr>
      <w:tr>
        <w:trPr>
          <w:cantSplit w:val="true"/>
        </w:trPr>
        <w:tc>
          <w:tcPr>
            <w:tcW w:type="dxa" w:w="680"/>
          </w:tcPr>
          <w:p>
            <w:pPr>
              <w:spacing w:after="0"/>
            </w:pPr>
            <w:r/>
            <w:r>
              <w:rPr>
                <w:b/>
                <w:sz w:val="17"/>
              </w:rPr>
              <w:t>D2</w:t>
            </w:r>
          </w:p>
        </w:tc>
        <w:tc>
          <w:tcPr>
            <w:tcW w:type="dxa" w:w="1474"/>
          </w:tcPr>
          <w:p>
            <w:pPr>
              <w:spacing w:after="0"/>
            </w:pPr>
            <w:r/>
            <w:r>
              <w:rPr>
                <w:sz w:val="17"/>
              </w:rPr>
              <w:t>Mi-févr. 2027</w:t>
            </w:r>
          </w:p>
        </w:tc>
        <w:tc>
          <w:tcPr>
            <w:tcW w:type="dxa" w:w="3061"/>
          </w:tcPr>
          <w:p>
            <w:pPr>
              <w:spacing w:after="0"/>
            </w:pPr>
            <w:r/>
            <w:r>
              <w:rPr>
                <w:sz w:val="17"/>
              </w:rPr>
              <w:t>Quelle suite après la BSCP ?</w:t>
            </w:r>
          </w:p>
        </w:tc>
        <w:tc>
          <w:tcPr>
            <w:tcW w:type="dxa" w:w="4422"/>
          </w:tcPr>
          <w:p>
            <w:pPr>
              <w:spacing w:after="0"/>
            </w:pPr>
            <w:r/>
            <w:r>
              <w:rPr>
                <w:sz w:val="17"/>
              </w:rPr>
              <w:t>CRTO, avec C et Sektor7 en parallèle (lab CRTO à accès à vie, confirmé par toi).</w:t>
            </w:r>
          </w:p>
        </w:tc>
      </w:tr>
      <w:tr>
        <w:trPr>
          <w:cantSplit w:val="true"/>
        </w:trPr>
        <w:tc>
          <w:tcPr>
            <w:tcW w:type="dxa" w:w="680"/>
          </w:tcPr>
          <w:p>
            <w:pPr>
              <w:spacing w:after="0"/>
            </w:pPr>
            <w:r/>
            <w:r>
              <w:rPr>
                <w:b/>
                <w:sz w:val="17"/>
              </w:rPr>
              <w:t>D3</w:t>
            </w:r>
          </w:p>
        </w:tc>
        <w:tc>
          <w:tcPr>
            <w:tcW w:type="dxa" w:w="1474"/>
          </w:tcPr>
          <w:p>
            <w:pPr>
              <w:spacing w:after="0"/>
            </w:pPr>
            <w:r/>
            <w:r>
              <w:rPr>
                <w:sz w:val="17"/>
              </w:rPr>
              <w:t>Mars 2027</w:t>
            </w:r>
          </w:p>
        </w:tc>
        <w:tc>
          <w:tcPr>
            <w:tcW w:type="dxa" w:w="3061"/>
          </w:tcPr>
          <w:p>
            <w:pPr>
              <w:spacing w:after="0"/>
            </w:pPr>
            <w:r/>
            <w:r>
              <w:rPr>
                <w:sz w:val="17"/>
              </w:rPr>
              <w:t>Quelles preuves hors emploi, lesquelles publier ?</w:t>
            </w:r>
          </w:p>
        </w:tc>
        <w:tc>
          <w:tcPr>
            <w:tcW w:type="dxa" w:w="4422"/>
          </w:tcPr>
          <w:p>
            <w:pPr>
              <w:spacing w:after="0"/>
            </w:pPr>
            <w:r/>
            <w:r>
              <w:rPr>
                <w:sz w:val="17"/>
              </w:rPr>
              <w:t>Publier uniquement après accord écrit de l'employeur ; sinon rapports privés partagés en entretien. Orienter un éventuel projet de M2 vers le Red Team.</w:t>
            </w:r>
          </w:p>
        </w:tc>
      </w:tr>
      <w:tr>
        <w:trPr>
          <w:cantSplit w:val="true"/>
        </w:trPr>
        <w:tc>
          <w:tcPr>
            <w:tcW w:type="dxa" w:w="680"/>
          </w:tcPr>
          <w:p>
            <w:pPr>
              <w:spacing w:after="0"/>
            </w:pPr>
            <w:r/>
            <w:r>
              <w:rPr>
                <w:b/>
                <w:sz w:val="17"/>
              </w:rPr>
              <w:t>D4</w:t>
            </w:r>
          </w:p>
        </w:tc>
        <w:tc>
          <w:tcPr>
            <w:tcW w:type="dxa" w:w="1474"/>
          </w:tcPr>
          <w:p>
            <w:pPr>
              <w:spacing w:after="0"/>
            </w:pPr>
            <w:r/>
            <w:r>
              <w:rPr>
                <w:sz w:val="17"/>
              </w:rPr>
              <w:t>Juin 2027</w:t>
            </w:r>
          </w:p>
        </w:tc>
        <w:tc>
          <w:tcPr>
            <w:tcW w:type="dxa" w:w="3061"/>
          </w:tcPr>
          <w:p>
            <w:pPr>
              <w:spacing w:after="0"/>
            </w:pPr>
            <w:r/>
            <w:r>
              <w:rPr>
                <w:sz w:val="17"/>
              </w:rPr>
              <w:t>CRTL ou CETP ?</w:t>
            </w:r>
          </w:p>
        </w:tc>
        <w:tc>
          <w:tcPr>
            <w:tcW w:type="dxa" w:w="4422"/>
          </w:tcPr>
          <w:p>
            <w:pPr>
              <w:spacing w:after="0"/>
            </w:pPr>
            <w:r/>
            <w:r>
              <w:rPr>
                <w:sz w:val="17"/>
              </w:rPr>
              <w:t>CRTL. CETP seulement si nettement plus demandé dans 30 offres ciblées ou si un budget se libère.</w:t>
            </w:r>
          </w:p>
        </w:tc>
      </w:tr>
      <w:tr>
        <w:trPr>
          <w:cantSplit w:val="true"/>
        </w:trPr>
        <w:tc>
          <w:tcPr>
            <w:tcW w:type="dxa" w:w="680"/>
          </w:tcPr>
          <w:p>
            <w:pPr>
              <w:spacing w:after="0"/>
            </w:pPr>
            <w:r/>
            <w:r>
              <w:rPr>
                <w:b/>
                <w:sz w:val="17"/>
              </w:rPr>
              <w:t>D5</w:t>
            </w:r>
          </w:p>
        </w:tc>
        <w:tc>
          <w:tcPr>
            <w:tcW w:type="dxa" w:w="1474"/>
          </w:tcPr>
          <w:p>
            <w:pPr>
              <w:spacing w:after="0"/>
            </w:pPr>
            <w:r/>
            <w:r>
              <w:rPr>
                <w:sz w:val="17"/>
              </w:rPr>
              <w:t>15 sept. 2027</w:t>
            </w:r>
          </w:p>
        </w:tc>
        <w:tc>
          <w:tcPr>
            <w:tcW w:type="dxa" w:w="3061"/>
          </w:tcPr>
          <w:p>
            <w:pPr>
              <w:spacing w:after="0"/>
            </w:pPr>
            <w:r/>
            <w:r>
              <w:rPr>
                <w:sz w:val="17"/>
              </w:rPr>
              <w:t>Renouveler HackTheBox (expiration le 8 oct.) ?</w:t>
            </w:r>
          </w:p>
        </w:tc>
        <w:tc>
          <w:tcPr>
            <w:tcW w:type="dxa" w:w="4422"/>
          </w:tcPr>
          <w:p>
            <w:pPr>
              <w:spacing w:after="0"/>
            </w:pPr>
            <w:r/>
            <w:r>
              <w:rPr>
                <w:sz w:val="17"/>
              </w:rPr>
              <w:t>Oui si Ifrit ou Cybernetics restent à faire ; sinon basculer sur Ludus.</w:t>
            </w:r>
          </w:p>
        </w:tc>
      </w:tr>
      <w:tr>
        <w:trPr>
          <w:cantSplit w:val="true"/>
        </w:trPr>
        <w:tc>
          <w:tcPr>
            <w:tcW w:type="dxa" w:w="680"/>
          </w:tcPr>
          <w:p>
            <w:pPr>
              <w:spacing w:after="0"/>
            </w:pPr>
            <w:r/>
            <w:r>
              <w:rPr>
                <w:b/>
                <w:sz w:val="17"/>
              </w:rPr>
              <w:t>D6</w:t>
            </w:r>
          </w:p>
        </w:tc>
        <w:tc>
          <w:tcPr>
            <w:tcW w:type="dxa" w:w="1474"/>
          </w:tcPr>
          <w:p>
            <w:pPr>
              <w:spacing w:after="0"/>
            </w:pPr>
            <w:r/>
            <w:r>
              <w:rPr>
                <w:sz w:val="17"/>
              </w:rPr>
              <w:t>Mars 2028</w:t>
            </w:r>
          </w:p>
        </w:tc>
        <w:tc>
          <w:tcPr>
            <w:tcW w:type="dxa" w:w="3061"/>
          </w:tcPr>
          <w:p>
            <w:pPr>
              <w:spacing w:after="0"/>
            </w:pPr>
            <w:r/>
            <w:r>
              <w:rPr>
                <w:sz w:val="17"/>
              </w:rPr>
              <w:t>Type d'employeur visé en priorité</w:t>
            </w:r>
          </w:p>
        </w:tc>
        <w:tc>
          <w:tcPr>
            <w:tcW w:type="dxa" w:w="4422"/>
          </w:tcPr>
          <w:p>
            <w:pPr>
              <w:spacing w:after="0"/>
            </w:pPr>
            <w:r/>
            <w:r>
              <w:rPr>
                <w:sz w:val="17"/>
              </w:rPr>
              <w:t>Candidater en parallèle aux cabinets d'audit qualifiés PASSI et aux équipes internes bancaires.</w:t>
            </w:r>
          </w:p>
        </w:tc>
      </w:tr>
      <w:tr>
        <w:trPr>
          <w:cantSplit w:val="true"/>
        </w:trPr>
        <w:tc>
          <w:tcPr>
            <w:tcW w:type="dxa" w:w="680"/>
          </w:tcPr>
          <w:p>
            <w:pPr>
              <w:spacing w:after="0"/>
            </w:pPr>
            <w:r/>
            <w:r>
              <w:rPr>
                <w:b/>
                <w:sz w:val="17"/>
              </w:rPr>
              <w:t>D7</w:t>
            </w:r>
          </w:p>
        </w:tc>
        <w:tc>
          <w:tcPr>
            <w:tcW w:type="dxa" w:w="1474"/>
          </w:tcPr>
          <w:p>
            <w:pPr>
              <w:spacing w:after="0"/>
            </w:pPr>
            <w:r/>
            <w:r>
              <w:rPr>
                <w:sz w:val="17"/>
              </w:rPr>
              <w:t>Avril 2028</w:t>
            </w:r>
          </w:p>
        </w:tc>
        <w:tc>
          <w:tcPr>
            <w:tcW w:type="dxa" w:w="3061"/>
          </w:tcPr>
          <w:p>
            <w:pPr>
              <w:spacing w:after="0"/>
            </w:pPr>
            <w:r/>
            <w:r>
              <w:rPr>
                <w:sz w:val="17"/>
              </w:rPr>
              <w:t>Lab CETP, lab CARTP ou rien ?</w:t>
            </w:r>
          </w:p>
        </w:tc>
        <w:tc>
          <w:tcPr>
            <w:tcW w:type="dxa" w:w="4422"/>
          </w:tcPr>
          <w:p>
            <w:pPr>
              <w:spacing w:after="0"/>
            </w:pPr>
            <w:r/>
            <w:r>
              <w:rPr>
                <w:sz w:val="17"/>
              </w:rPr>
              <w:t>CARTP si le cloud apparaît dans plus d'un tiers des offres ; CETP en 60 jours seulement si le CRTL est acquis et le budget le permet.</w:t>
            </w:r>
          </w:p>
        </w:tc>
      </w:tr>
    </w:tbl>
    <w:p>
      <w:pPr>
        <w:spacing w:after="40"/>
      </w:pPr>
    </w:p>
    <w:p>
      <w:pPr>
        <w:pStyle w:val="Heading1"/>
      </w:pPr>
      <w:r>
        <w:t>7. Positionnement sur le marché</w:t>
      </w:r>
    </w:p>
    <w:p>
      <w:pPr>
        <w:pStyle w:val="ListBullet"/>
        <w:spacing w:after="40"/>
      </w:pPr>
      <w:r>
        <w:rPr>
          <w:b/>
        </w:rPr>
        <w:t xml:space="preserve">Intitulés : </w:t>
      </w:r>
      <w:r>
        <w:t>Opérateur Red Team, Red Teamer Pentester, Ingénieur Red Team ; en anglais Red Team Operator, Offensive Security Engineer, Adversary Emulation. Sur un CV, préfère « développement d'outils offensifs » ou « capacités d'émulation d'adversaire » à « développement de maliciels », surtout pour un employeur public.</w:t>
      </w:r>
    </w:p>
    <w:p>
      <w:pPr>
        <w:pStyle w:val="ListBullet"/>
        <w:spacing w:after="40"/>
      </w:pPr>
      <w:r>
        <w:rPr>
          <w:b/>
        </w:rPr>
        <w:t xml:space="preserve">Employeurs : </w:t>
      </w:r>
      <w:r>
        <w:t>cabinets PASSI (Synacktiv, XMCO) et équipes internes de banques et assurances, portées par DORA et les tests de pénétration fondés sur la menace. Les salaires relevés vont de 45 000 à 80 000 € selon l'expérience exigée (non revérifiés ; l'offre Synacktiv retrouvée affiche un minimum de 44 400 € brut).</w:t>
      </w:r>
    </w:p>
    <w:p>
      <w:pPr>
        <w:pStyle w:val="ListBullet"/>
        <w:spacing w:after="40"/>
      </w:pPr>
      <w:r>
        <w:rPr>
          <w:b/>
        </w:rPr>
        <w:t xml:space="preserve">Niche : </w:t>
      </w:r>
      <w:r>
        <w:t>marché saturé au niveau débutant, en pénurie au niveau confirmé (source faible). La combinaison Active Directory, discrétion et développement de ses propres outils est plus rare. Pitch recommandé : un opérateur qui sait comment un parc est administré et surveillé.</w:t>
      </w:r>
    </w:p>
    <w:p>
      <w:pPr>
        <w:pStyle w:val="ListBullet"/>
        <w:spacing w:after="40"/>
      </w:pPr>
      <w:r>
        <w:rPr>
          <w:b/>
        </w:rPr>
        <w:t xml:space="preserve">Preuves : </w:t>
      </w:r>
      <w:r>
        <w:t>deux projets logiciels propres valent plus qu'un dépôt d'outils offensifs copiés. Une seule présentation solide en 2028 suffit.</w:t>
      </w:r>
    </w:p>
    <w:p>
      <w:pPr>
        <w:pStyle w:val="ListBullet"/>
        <w:spacing w:after="40"/>
      </w:pPr>
      <w:r>
        <w:rPr>
          <w:b/>
        </w:rPr>
        <w:t xml:space="preserve">À vérifier : </w:t>
      </w:r>
      <w:r>
        <w:t>toute publication pendant ton contrat peut nécessiter l'accord de ton employeur : renseigne-toi avant de publier.</w:t>
      </w:r>
    </w:p>
    <w:p>
      <w:pPr>
        <w:pStyle w:val="Heading1"/>
      </w:pPr>
      <w:r>
        <w:t>8. Risques</w:t>
      </w:r>
    </w:p>
    <w:tbl>
      <w:tblPr>
        <w:tblStyle w:val="TableGrid"/>
        <w:jc w:val="center"/>
        <w:tblLayout w:type="fixed"/>
        <w:tblLook w:firstColumn="1" w:firstRow="1" w:lastColumn="0" w:lastRow="0" w:noHBand="0" w:noVBand="1" w:val="04A0"/>
        <w:tblLayout w:type="fixed"/>
        <w:tblW w:w="9639" w:type="dxa"/>
      </w:tblPr>
      <w:tblGrid>
        <w:gridCol w:w="1701"/>
        <w:gridCol w:w="3402"/>
        <w:gridCol w:w="4536"/>
      </w:tblGrid>
      <w:tr>
        <w:trPr>
          <w:tblHeader w:val="true"/>
        </w:trPr>
        <w:tc>
          <w:tcPr>
            <w:tcW w:type="dxa" w:w="1701"/>
            <w:shd w:val="clear" w:color="auto" w:fill="1F3A5F"/>
          </w:tcPr>
          <w:p>
            <w:r/>
            <w:r>
              <w:rPr>
                <w:b/>
                <w:color w:val="FFFFFF"/>
                <w:sz w:val="17"/>
              </w:rPr>
              <w:t>Risque</w:t>
            </w:r>
          </w:p>
        </w:tc>
        <w:tc>
          <w:tcPr>
            <w:tcW w:type="dxa" w:w="3402"/>
            <w:shd w:val="clear" w:color="auto" w:fill="1F3A5F"/>
          </w:tcPr>
          <w:p>
            <w:r/>
            <w:r>
              <w:rPr>
                <w:b/>
                <w:color w:val="FFFFFF"/>
                <w:sz w:val="17"/>
              </w:rPr>
              <w:t>Signal d'alerte</w:t>
            </w:r>
          </w:p>
        </w:tc>
        <w:tc>
          <w:tcPr>
            <w:tcW w:type="dxa" w:w="4535"/>
            <w:shd w:val="clear" w:color="auto" w:fill="1F3A5F"/>
          </w:tcPr>
          <w:p>
            <w:r/>
            <w:r>
              <w:rPr>
                <w:b/>
                <w:color w:val="FFFFFF"/>
                <w:sz w:val="17"/>
              </w:rPr>
              <w:t>Réaction</w:t>
            </w:r>
          </w:p>
        </w:tc>
      </w:tr>
      <w:tr>
        <w:trPr>
          <w:cantSplit w:val="true"/>
        </w:trPr>
        <w:tc>
          <w:tcPr>
            <w:tcW w:type="dxa" w:w="1701"/>
          </w:tcPr>
          <w:p>
            <w:pPr>
              <w:spacing w:after="0"/>
            </w:pPr>
            <w:r/>
            <w:r>
              <w:rPr>
                <w:b/>
                <w:sz w:val="17"/>
              </w:rPr>
              <w:t>Surcharge</w:t>
            </w:r>
          </w:p>
        </w:tc>
        <w:tc>
          <w:tcPr>
            <w:tcW w:type="dxa" w:w="3402"/>
          </w:tcPr>
          <w:p>
            <w:pPr>
              <w:spacing w:after="0"/>
            </w:pPr>
            <w:r/>
            <w:r>
              <w:rPr>
                <w:sz w:val="17"/>
              </w:rPr>
              <w:t>Deux semaines consécutives sous 70 % des heures prévues, dimanche entamé, fatigue persistante.</w:t>
            </w:r>
          </w:p>
        </w:tc>
        <w:tc>
          <w:tcPr>
            <w:tcW w:type="dxa" w:w="4535"/>
          </w:tcPr>
          <w:p>
            <w:pPr>
              <w:spacing w:after="0"/>
            </w:pPr>
            <w:r/>
            <w:r>
              <w:rPr>
                <w:sz w:val="17"/>
              </w:rPr>
              <w:t>Supprimer le lab en premier (passer aux Mini Pro Labs), garder le cours et le projet. Ne jamais sacrifier le dimanche libre ni les deux semaines de congés d'été.</w:t>
            </w:r>
          </w:p>
        </w:tc>
      </w:tr>
      <w:tr>
        <w:trPr>
          <w:cantSplit w:val="true"/>
        </w:trPr>
        <w:tc>
          <w:tcPr>
            <w:tcW w:type="dxa" w:w="1701"/>
          </w:tcPr>
          <w:p>
            <w:pPr>
              <w:spacing w:after="0"/>
            </w:pPr>
            <w:r/>
            <w:r>
              <w:rPr>
                <w:b/>
                <w:sz w:val="17"/>
              </w:rPr>
              <w:t>Dispersion</w:t>
            </w:r>
          </w:p>
        </w:tc>
        <w:tc>
          <w:tcPr>
            <w:tcW w:type="dxa" w:w="3402"/>
          </w:tcPr>
          <w:p>
            <w:pPr>
              <w:spacing w:after="0"/>
            </w:pPr>
            <w:r/>
            <w:r>
              <w:rPr>
                <w:sz w:val="17"/>
              </w:rPr>
              <w:t>Plus d'un cours, d'un lab ou d'un projet ouvert ; achat non prévu ; lab abandonné avant 70 %.</w:t>
            </w:r>
          </w:p>
        </w:tc>
        <w:tc>
          <w:tcPr>
            <w:tcW w:type="dxa" w:w="4535"/>
          </w:tcPr>
          <w:p>
            <w:pPr>
              <w:spacing w:after="0"/>
            </w:pPr>
            <w:r/>
            <w:r>
              <w:rPr>
                <w:sz w:val="17"/>
              </w:rPr>
              <w:t>Geler tout achat jusqu'au prochain point de décision. Terminer ou abandonner explicitement ce qui est ouvert.</w:t>
            </w:r>
          </w:p>
        </w:tc>
      </w:tr>
      <w:tr>
        <w:trPr>
          <w:cantSplit w:val="true"/>
        </w:trPr>
        <w:tc>
          <w:tcPr>
            <w:tcW w:type="dxa" w:w="1701"/>
          </w:tcPr>
          <w:p>
            <w:pPr>
              <w:spacing w:after="0"/>
            </w:pPr>
            <w:r/>
            <w:r>
              <w:rPr>
                <w:b/>
                <w:sz w:val="17"/>
              </w:rPr>
              <w:t>Échec à la BSCP</w:t>
            </w:r>
          </w:p>
        </w:tc>
        <w:tc>
          <w:tcPr>
            <w:tcW w:type="dxa" w:w="3402"/>
          </w:tcPr>
          <w:p>
            <w:pPr>
              <w:spacing w:after="0"/>
            </w:pPr>
            <w:r/>
            <w:r>
              <w:rPr>
                <w:sz w:val="17"/>
              </w:rPr>
              <w:t>Examen blanc non réussi fin novembre, ou échec en février.</w:t>
            </w:r>
          </w:p>
        </w:tc>
        <w:tc>
          <w:tcPr>
            <w:tcW w:type="dxa" w:w="4535"/>
          </w:tcPr>
          <w:p>
            <w:pPr>
              <w:spacing w:after="0"/>
            </w:pPr>
            <w:r/>
            <w:r>
              <w:rPr>
                <w:sz w:val="17"/>
              </w:rPr>
              <w:t>Décaler d'un mois au plus ; en cas d'échec, une seule reprise sous six à huit semaines (99 $ selon une source tierce, à confirmer), CRTO à 2 h par semaine entre-temps.</w:t>
            </w:r>
          </w:p>
        </w:tc>
      </w:tr>
      <w:tr>
        <w:trPr>
          <w:cantSplit w:val="true"/>
        </w:trPr>
        <w:tc>
          <w:tcPr>
            <w:tcW w:type="dxa" w:w="1701"/>
          </w:tcPr>
          <w:p>
            <w:pPr>
              <w:spacing w:after="0"/>
            </w:pPr>
            <w:r/>
            <w:r>
              <w:rPr>
                <w:b/>
                <w:sz w:val="17"/>
              </w:rPr>
              <w:t>Aucun offensif en alternance</w:t>
            </w:r>
          </w:p>
        </w:tc>
        <w:tc>
          <w:tcPr>
            <w:tcW w:type="dxa" w:w="3402"/>
          </w:tcPr>
          <w:p>
            <w:pPr>
              <w:spacing w:after="0"/>
            </w:pPr>
            <w:r/>
            <w:r>
              <w:rPr>
                <w:sz w:val="17"/>
              </w:rPr>
              <w:t>Aucune convocation après six mois de recherche (dès janvier 2028).</w:t>
            </w:r>
          </w:p>
        </w:tc>
        <w:tc>
          <w:tcPr>
            <w:tcW w:type="dxa" w:w="4535"/>
          </w:tcPr>
          <w:p>
            <w:pPr>
              <w:spacing w:after="0"/>
            </w:pPr>
            <w:r/>
            <w:r>
              <w:rPr>
                <w:sz w:val="17"/>
              </w:rPr>
              <w:t>Élargir au pentest généraliste et aux équipes de détection ou d'audit, puis revenir à l'offensif après un ou deux ans.</w:t>
            </w:r>
          </w:p>
        </w:tc>
      </w:tr>
    </w:tbl>
    <w:p>
      <w:pPr>
        <w:spacing w:after="40"/>
      </w:pPr>
    </w:p>
    <w:p>
      <w:r>
        <w:rPr>
          <w:i w:val="0"/>
          <w:sz w:val="19"/>
        </w:rPr>
        <w:t>Autre point : l'examen BSCP exige une licence Burp Suite Professional active. Vérifie la tienne dès octobre.</w:t>
      </w:r>
    </w:p>
    <w:p>
      <w:pPr>
        <w:pStyle w:val="Heading1"/>
      </w:pPr>
      <w:r>
        <w:t>9. Budget prévisionnel (hors achats déjà faits)</w:t>
      </w:r>
    </w:p>
    <w:tbl>
      <w:tblPr>
        <w:tblStyle w:val="TableGrid"/>
        <w:jc w:val="center"/>
        <w:tblLayout w:type="fixed"/>
        <w:tblLook w:firstColumn="1" w:firstRow="1" w:lastColumn="0" w:lastRow="0" w:noHBand="0" w:noVBand="1" w:val="04A0"/>
        <w:tblLayout w:type="fixed"/>
        <w:tblW w:w="9639" w:type="dxa"/>
      </w:tblPr>
      <w:tblGrid>
        <w:gridCol w:w="3061"/>
        <w:gridCol w:w="2381"/>
        <w:gridCol w:w="2608"/>
        <w:gridCol w:w="1587"/>
      </w:tblGrid>
      <w:tr>
        <w:trPr>
          <w:tblHeader w:val="true"/>
        </w:trPr>
        <w:tc>
          <w:tcPr>
            <w:tcW w:type="dxa" w:w="3061"/>
            <w:shd w:val="clear" w:color="auto" w:fill="1F3A5F"/>
          </w:tcPr>
          <w:p>
            <w:r/>
            <w:r>
              <w:rPr>
                <w:b/>
                <w:color w:val="FFFFFF"/>
                <w:sz w:val="17"/>
              </w:rPr>
              <w:t>Poste</w:t>
            </w:r>
          </w:p>
        </w:tc>
        <w:tc>
          <w:tcPr>
            <w:tcW w:type="dxa" w:w="2381"/>
            <w:shd w:val="clear" w:color="auto" w:fill="1F3A5F"/>
          </w:tcPr>
          <w:p>
            <w:r/>
            <w:r>
              <w:rPr>
                <w:b/>
                <w:color w:val="FFFFFF"/>
                <w:sz w:val="17"/>
              </w:rPr>
              <w:t>Prix trouvé</w:t>
            </w:r>
          </w:p>
        </w:tc>
        <w:tc>
          <w:tcPr>
            <w:tcW w:type="dxa" w:w="2608"/>
            <w:shd w:val="clear" w:color="auto" w:fill="1F3A5F"/>
          </w:tcPr>
          <w:p>
            <w:r/>
            <w:r>
              <w:rPr>
                <w:b/>
                <w:color w:val="FFFFFF"/>
                <w:sz w:val="17"/>
              </w:rPr>
              <w:t>Fiabilité</w:t>
            </w:r>
          </w:p>
        </w:tc>
        <w:tc>
          <w:tcPr>
            <w:tcW w:type="dxa" w:w="1587"/>
            <w:shd w:val="clear" w:color="auto" w:fill="1F3A5F"/>
          </w:tcPr>
          <w:p>
            <w:r/>
            <w:r>
              <w:rPr>
                <w:b/>
                <w:color w:val="FFFFFF"/>
                <w:sz w:val="17"/>
              </w:rPr>
              <w:t>Quand</w:t>
            </w:r>
          </w:p>
        </w:tc>
      </w:tr>
      <w:tr>
        <w:trPr>
          <w:cantSplit w:val="true"/>
        </w:trPr>
        <w:tc>
          <w:tcPr>
            <w:tcW w:type="dxa" w:w="3061"/>
          </w:tcPr>
          <w:p>
            <w:pPr>
              <w:spacing w:after="0"/>
            </w:pPr>
            <w:r/>
            <w:r>
              <w:rPr>
                <w:b/>
                <w:sz w:val="17"/>
              </w:rPr>
              <w:t>Cours Red Team Ops II (CRTL)</w:t>
            </w:r>
          </w:p>
        </w:tc>
        <w:tc>
          <w:tcPr>
            <w:tcW w:type="dxa" w:w="2381"/>
          </w:tcPr>
          <w:p>
            <w:pPr>
              <w:spacing w:after="0"/>
            </w:pPr>
            <w:r/>
            <w:r>
              <w:rPr>
                <w:sz w:val="17"/>
              </w:rPr>
              <w:t>399 £</w:t>
            </w:r>
          </w:p>
        </w:tc>
        <w:tc>
          <w:tcPr>
            <w:tcW w:type="dxa" w:w="2608"/>
          </w:tcPr>
          <w:p>
            <w:pPr>
              <w:spacing w:after="0"/>
            </w:pPr>
            <w:r/>
            <w:r>
              <w:rPr>
                <w:sz w:val="17"/>
              </w:rPr>
              <w:t>Page non datée</w:t>
            </w:r>
          </w:p>
        </w:tc>
        <w:tc>
          <w:tcPr>
            <w:tcW w:type="dxa" w:w="1587"/>
          </w:tcPr>
          <w:p>
            <w:pPr>
              <w:spacing w:after="0"/>
            </w:pPr>
            <w:r/>
            <w:r>
              <w:rPr>
                <w:sz w:val="17"/>
              </w:rPr>
              <w:t>Janvier 2028</w:t>
            </w:r>
          </w:p>
        </w:tc>
      </w:tr>
      <w:tr>
        <w:trPr>
          <w:cantSplit w:val="true"/>
        </w:trPr>
        <w:tc>
          <w:tcPr>
            <w:tcW w:type="dxa" w:w="3061"/>
          </w:tcPr>
          <w:p>
            <w:pPr>
              <w:spacing w:after="0"/>
            </w:pPr>
            <w:r/>
            <w:r>
              <w:rPr>
                <w:b/>
                <w:sz w:val="17"/>
              </w:rPr>
              <w:t>Lab Red Team Ops II</w:t>
            </w:r>
          </w:p>
        </w:tc>
        <w:tc>
          <w:tcPr>
            <w:tcW w:type="dxa" w:w="2381"/>
          </w:tcPr>
          <w:p>
            <w:pPr>
              <w:spacing w:after="0"/>
            </w:pPr>
            <w:r/>
            <w:r>
              <w:rPr>
                <w:sz w:val="17"/>
              </w:rPr>
              <w:t>15 £ par mois pour 40 h (2023)</w:t>
            </w:r>
          </w:p>
        </w:tc>
        <w:tc>
          <w:tcPr>
            <w:tcW w:type="dxa" w:w="2608"/>
          </w:tcPr>
          <w:p>
            <w:pPr>
              <w:spacing w:after="0"/>
            </w:pPr>
            <w:r/>
            <w:r>
              <w:rPr>
                <w:sz w:val="17"/>
              </w:rPr>
              <w:t>Incertain</w:t>
            </w:r>
          </w:p>
        </w:tc>
        <w:tc>
          <w:tcPr>
            <w:tcW w:type="dxa" w:w="1587"/>
          </w:tcPr>
          <w:p>
            <w:pPr>
              <w:spacing w:after="0"/>
            </w:pPr>
            <w:r/>
            <w:r>
              <w:rPr>
                <w:sz w:val="17"/>
              </w:rPr>
              <w:t>Février 2028</w:t>
            </w:r>
          </w:p>
        </w:tc>
      </w:tr>
      <w:tr>
        <w:trPr>
          <w:cantSplit w:val="true"/>
        </w:trPr>
        <w:tc>
          <w:tcPr>
            <w:tcW w:type="dxa" w:w="3061"/>
          </w:tcPr>
          <w:p>
            <w:pPr>
              <w:spacing w:after="0"/>
            </w:pPr>
            <w:r/>
            <w:r>
              <w:rPr>
                <w:b/>
                <w:sz w:val="17"/>
              </w:rPr>
              <w:t>Lab CETP (optionnel)</w:t>
            </w:r>
          </w:p>
        </w:tc>
        <w:tc>
          <w:tcPr>
            <w:tcW w:type="dxa" w:w="2381"/>
          </w:tcPr>
          <w:p>
            <w:pPr>
              <w:spacing w:after="0"/>
            </w:pPr>
            <w:r/>
            <w:r>
              <w:rPr>
                <w:sz w:val="17"/>
              </w:rPr>
              <w:t>649 $ pour 60 jours (449 $ pour 30 j, 849 $ pour 90 j)</w:t>
            </w:r>
          </w:p>
        </w:tc>
        <w:tc>
          <w:tcPr>
            <w:tcW w:type="dxa" w:w="2608"/>
          </w:tcPr>
          <w:p>
            <w:pPr>
              <w:spacing w:after="0"/>
            </w:pPr>
            <w:r/>
            <w:r>
              <w:rPr>
                <w:sz w:val="17"/>
              </w:rPr>
              <w:t>Confirmé sur la page officielle, non datée</w:t>
            </w:r>
          </w:p>
        </w:tc>
        <w:tc>
          <w:tcPr>
            <w:tcW w:type="dxa" w:w="1587"/>
          </w:tcPr>
          <w:p>
            <w:pPr>
              <w:spacing w:after="0"/>
            </w:pPr>
            <w:r/>
            <w:r>
              <w:rPr>
                <w:sz w:val="17"/>
              </w:rPr>
              <w:t>Mai 2028 si D7</w:t>
            </w:r>
          </w:p>
        </w:tc>
      </w:tr>
      <w:tr>
        <w:trPr>
          <w:cantSplit w:val="true"/>
        </w:trPr>
        <w:tc>
          <w:tcPr>
            <w:tcW w:type="dxa" w:w="3061"/>
          </w:tcPr>
          <w:p>
            <w:pPr>
              <w:spacing w:after="0"/>
            </w:pPr>
            <w:r/>
            <w:r>
              <w:rPr>
                <w:b/>
                <w:sz w:val="17"/>
              </w:rPr>
              <w:t>Renouvellement HackTheBox (optionnel)</w:t>
            </w:r>
          </w:p>
        </w:tc>
        <w:tc>
          <w:tcPr>
            <w:tcW w:type="dxa" w:w="2381"/>
          </w:tcPr>
          <w:p>
            <w:pPr>
              <w:spacing w:after="0"/>
            </w:pPr>
            <w:r/>
            <w:r>
              <w:rPr>
                <w:sz w:val="17"/>
              </w:rPr>
              <w:t>490 $ par an (HTB PRO)</w:t>
            </w:r>
          </w:p>
        </w:tc>
        <w:tc>
          <w:tcPr>
            <w:tcW w:type="dxa" w:w="2608"/>
          </w:tcPr>
          <w:p>
            <w:pPr>
              <w:spacing w:after="0"/>
            </w:pPr>
            <w:r/>
            <w:r>
              <w:rPr>
                <w:sz w:val="17"/>
              </w:rPr>
              <w:t>Confirmé ; prix de ta formule historique non vérifié</w:t>
            </w:r>
          </w:p>
        </w:tc>
        <w:tc>
          <w:tcPr>
            <w:tcW w:type="dxa" w:w="1587"/>
          </w:tcPr>
          <w:p>
            <w:pPr>
              <w:spacing w:after="0"/>
            </w:pPr>
            <w:r/>
            <w:r>
              <w:rPr>
                <w:sz w:val="17"/>
              </w:rPr>
              <w:t>8 octobre 2027 si D5</w:t>
            </w:r>
          </w:p>
        </w:tc>
      </w:tr>
      <w:tr>
        <w:trPr>
          <w:cantSplit w:val="true"/>
        </w:trPr>
        <w:tc>
          <w:tcPr>
            <w:tcW w:type="dxa" w:w="3061"/>
          </w:tcPr>
          <w:p>
            <w:pPr>
              <w:spacing w:after="0"/>
            </w:pPr>
            <w:r/>
            <w:r>
              <w:rPr>
                <w:b/>
                <w:sz w:val="17"/>
              </w:rPr>
              <w:t>Lab CARTP (optionnel)</w:t>
            </w:r>
          </w:p>
        </w:tc>
        <w:tc>
          <w:tcPr>
            <w:tcW w:type="dxa" w:w="2381"/>
          </w:tcPr>
          <w:p>
            <w:pPr>
              <w:spacing w:after="0"/>
            </w:pPr>
            <w:r/>
            <w:r>
              <w:rPr>
                <w:sz w:val="17"/>
              </w:rPr>
              <w:t>Non trouvé</w:t>
            </w:r>
          </w:p>
        </w:tc>
        <w:tc>
          <w:tcPr>
            <w:tcW w:type="dxa" w:w="2608"/>
          </w:tcPr>
          <w:p>
            <w:pPr>
              <w:spacing w:after="0"/>
            </w:pPr>
            <w:r/>
            <w:r>
              <w:rPr>
                <w:sz w:val="17"/>
              </w:rPr>
              <w:t>Incertain</w:t>
            </w:r>
          </w:p>
        </w:tc>
        <w:tc>
          <w:tcPr>
            <w:tcW w:type="dxa" w:w="1587"/>
          </w:tcPr>
          <w:p>
            <w:pPr>
              <w:spacing w:after="0"/>
            </w:pPr>
            <w:r/>
            <w:r>
              <w:rPr>
                <w:sz w:val="17"/>
              </w:rPr>
              <w:t>Mai ou juin 2028 si D7</w:t>
            </w:r>
          </w:p>
        </w:tc>
      </w:tr>
      <w:tr>
        <w:trPr>
          <w:cantSplit w:val="true"/>
        </w:trPr>
        <w:tc>
          <w:tcPr>
            <w:tcW w:type="dxa" w:w="3061"/>
          </w:tcPr>
          <w:p>
            <w:pPr>
              <w:spacing w:after="0"/>
            </w:pPr>
            <w:r/>
            <w:r>
              <w:rPr>
                <w:b/>
                <w:sz w:val="17"/>
              </w:rPr>
              <w:t>Reprise BSCP (si échec)</w:t>
            </w:r>
          </w:p>
        </w:tc>
        <w:tc>
          <w:tcPr>
            <w:tcW w:type="dxa" w:w="2381"/>
          </w:tcPr>
          <w:p>
            <w:pPr>
              <w:spacing w:after="0"/>
            </w:pPr>
            <w:r/>
            <w:r>
              <w:rPr>
                <w:sz w:val="17"/>
              </w:rPr>
              <w:t>99 $ = prix de l'examen</w:t>
            </w:r>
          </w:p>
        </w:tc>
        <w:tc>
          <w:tcPr>
            <w:tcW w:type="dxa" w:w="2608"/>
          </w:tcPr>
          <w:p>
            <w:pPr>
              <w:spacing w:after="0"/>
            </w:pPr>
            <w:r/>
            <w:r>
              <w:rPr>
                <w:sz w:val="17"/>
              </w:rPr>
              <w:t>Source tierce ; prix d'une reprise non trouvé</w:t>
            </w:r>
          </w:p>
        </w:tc>
        <w:tc>
          <w:tcPr>
            <w:tcW w:type="dxa" w:w="1587"/>
          </w:tcPr>
          <w:p>
            <w:pPr>
              <w:spacing w:after="0"/>
            </w:pPr>
            <w:r/>
            <w:r>
              <w:rPr>
                <w:sz w:val="17"/>
              </w:rPr>
              <w:t>Mars ou avril 2027</w:t>
            </w:r>
          </w:p>
        </w:tc>
      </w:tr>
    </w:tbl>
    <w:p>
      <w:pPr>
        <w:spacing w:after="40"/>
      </w:pPr>
    </w:p>
    <w:p>
      <w:pPr>
        <w:pStyle w:val="Heading1"/>
      </w:pPr>
      <w:r>
        <w:t>10. Ce que j'attends de toi</w:t>
      </w:r>
    </w:p>
    <w:p>
      <w:pPr>
        <w:pStyle w:val="ListNumber"/>
        <w:spacing w:after="40"/>
      </w:pPr>
      <w:r>
        <w:rPr>
          <w:b/>
        </w:rPr>
        <w:t xml:space="preserve">Vérifier deux informations que je n'ai pas pu obtenir : </w:t>
      </w:r>
      <w:r>
        <w:t>le prix de renouvellement de ton abonnement HackTheBox historique face à HTB PRO ; les prérequis du cours EDR de Maldev Academy. La décision D5 en dépend.</w:t>
      </w:r>
    </w:p>
    <w:p>
      <w:pPr>
        <w:pStyle w:val="ListNumber"/>
        <w:spacing w:after="40"/>
      </w:pPr>
      <w:r>
        <w:rPr>
          <w:b/>
        </w:rPr>
        <w:t xml:space="preserve">Trancher dès maintenant sur l'OSINT : </w:t>
      </w:r>
      <w:r>
        <w:t>arrêter et réaffecter l'heure au C. C'est le seul changement à appliquer avant même la BSCP.</w:t>
      </w:r>
    </w:p>
    <w:p>
      <w:r>
        <w:rPr>
          <w:i/>
          <w:color w:val="555555"/>
          <w:sz w:val="18"/>
        </w:rPr>
        <w:t>Informations que tu m'as données le 14 octobre 2026 et que je n'ai pas pu vérifier : abonnement HackTheBox actif jusqu'au 8 octobre 2027 avec accès aux Pro Labs et Mini Pro Labs ; lab CRTO inclus dans ton achat, avec un accès à vie ; labs Push et Sidecar disponibles ; cours EDR édité par Maldev Academy ; contrat d'apprentissage de deux ans au ministère sans activité offensive ; pas de mémoire ni de soutenance en M2 ; fin du travail à 16 h 30, retour vers 17 h 15, travail possible jusque vers 21 h. Contrôle des sources : annexe B.</w:t>
      </w:r>
    </w:p>
    <w:p>
      <w:pPr>
        <w:sectPr>
          <w:footerReference w:type="default" r:id="rId15"/>
          <w:pgSz w:w="11906" w:h="16838"/>
          <w:pgMar w:top="1020" w:right="1134" w:bottom="1020" w:left="1134" w:header="720" w:footer="720" w:gutter="0"/>
          <w:cols w:space="720"/>
          <w:docGrid w:linePitch="360"/>
        </w:sectPr>
      </w:pPr>
    </w:p>
    <w:p>
      <w:pPr>
        <w:pStyle w:val="Heading1"/>
      </w:pPr>
      <w:r>
        <w:t>Annexe A. Emplois du temps hebdomadaires</w:t>
      </w:r>
    </w:p>
    <w:p>
      <w:pPr>
        <w:spacing w:after="0"/>
      </w:pPr>
      <w:r>
        <w:rPr>
          <w:i w:val="0"/>
          <w:sz w:val="19"/>
        </w:rPr>
        <w:t>Une page par phase : semaine d'entreprise à gauche, semaine d'école à droite. Chaque case indique la séance, son créneau et sa durée ; le dimanche reste libre. Créneaux proposés (avis) : tu peux déplacer un bloc d'un jour à l'autre sans changer les totaux. Je n'ai pas tes horaires de fin de cours : les semaines d'école reprennent la même fenêtre, à vérifier.</w:t>
      </w:r>
    </w:p>
    <w:p>
      <w:pPr>
        <w:jc w:val="center"/>
      </w:pPr>
      <w:r>
        <w:drawing>
          <wp:inline xmlns:a="http://schemas.openxmlformats.org/drawingml/2006/main" xmlns:pic="http://schemas.openxmlformats.org/drawingml/2006/picture">
            <wp:extent cx="8640000" cy="5175446"/>
            <wp:docPr id="2" name="Picture 2"/>
            <wp:cNvGraphicFramePr>
              <a:graphicFrameLocks noChangeAspect="1"/>
            </wp:cNvGraphicFramePr>
            <a:graphic>
              <a:graphicData uri="http://schemas.openxmlformats.org/drawingml/2006/picture">
                <pic:pic>
                  <pic:nvPicPr>
                    <pic:cNvPr id="0" name="emploi_du_temps_1.png"/>
                    <pic:cNvPicPr/>
                  </pic:nvPicPr>
                  <pic:blipFill>
                    <a:blip r:embed="rId10"/>
                    <a:stretch>
                      <a:fillRect/>
                    </a:stretch>
                  </pic:blipFill>
                  <pic:spPr>
                    <a:xfrm>
                      <a:off x="0" y="0"/>
                      <a:ext cx="8640000" cy="517544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640000" cy="5175446"/>
            <wp:docPr id="3" name="Picture 3"/>
            <wp:cNvGraphicFramePr>
              <a:graphicFrameLocks noChangeAspect="1"/>
            </wp:cNvGraphicFramePr>
            <a:graphic>
              <a:graphicData uri="http://schemas.openxmlformats.org/drawingml/2006/picture">
                <pic:pic>
                  <pic:nvPicPr>
                    <pic:cNvPr id="0" name="emploi_du_temps_2.png"/>
                    <pic:cNvPicPr/>
                  </pic:nvPicPr>
                  <pic:blipFill>
                    <a:blip r:embed="rId11"/>
                    <a:stretch>
                      <a:fillRect/>
                    </a:stretch>
                  </pic:blipFill>
                  <pic:spPr>
                    <a:xfrm>
                      <a:off x="0" y="0"/>
                      <a:ext cx="8640000" cy="517544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640000" cy="5175446"/>
            <wp:docPr id="4" name="Picture 4"/>
            <wp:cNvGraphicFramePr>
              <a:graphicFrameLocks noChangeAspect="1"/>
            </wp:cNvGraphicFramePr>
            <a:graphic>
              <a:graphicData uri="http://schemas.openxmlformats.org/drawingml/2006/picture">
                <pic:pic>
                  <pic:nvPicPr>
                    <pic:cNvPr id="0" name="emploi_du_temps_3.png"/>
                    <pic:cNvPicPr/>
                  </pic:nvPicPr>
                  <pic:blipFill>
                    <a:blip r:embed="rId12"/>
                    <a:stretch>
                      <a:fillRect/>
                    </a:stretch>
                  </pic:blipFill>
                  <pic:spPr>
                    <a:xfrm>
                      <a:off x="0" y="0"/>
                      <a:ext cx="8640000" cy="517544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640000" cy="5175446"/>
            <wp:docPr id="5" name="Picture 5"/>
            <wp:cNvGraphicFramePr>
              <a:graphicFrameLocks noChangeAspect="1"/>
            </wp:cNvGraphicFramePr>
            <a:graphic>
              <a:graphicData uri="http://schemas.openxmlformats.org/drawingml/2006/picture">
                <pic:pic>
                  <pic:nvPicPr>
                    <pic:cNvPr id="0" name="emploi_du_temps_4.png"/>
                    <pic:cNvPicPr/>
                  </pic:nvPicPr>
                  <pic:blipFill>
                    <a:blip r:embed="rId13"/>
                    <a:stretch>
                      <a:fillRect/>
                    </a:stretch>
                  </pic:blipFill>
                  <pic:spPr>
                    <a:xfrm>
                      <a:off x="0" y="0"/>
                      <a:ext cx="8640000" cy="517544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8640000" cy="5175446"/>
            <wp:docPr id="6" name="Picture 6"/>
            <wp:cNvGraphicFramePr>
              <a:graphicFrameLocks noChangeAspect="1"/>
            </wp:cNvGraphicFramePr>
            <a:graphic>
              <a:graphicData uri="http://schemas.openxmlformats.org/drawingml/2006/picture">
                <pic:pic>
                  <pic:nvPicPr>
                    <pic:cNvPr id="0" name="emploi_du_temps_5.png"/>
                    <pic:cNvPicPr/>
                  </pic:nvPicPr>
                  <pic:blipFill>
                    <a:blip r:embed="rId14"/>
                    <a:stretch>
                      <a:fillRect/>
                    </a:stretch>
                  </pic:blipFill>
                  <pic:spPr>
                    <a:xfrm>
                      <a:off x="0" y="0"/>
                      <a:ext cx="8640000" cy="5175446"/>
                    </a:xfrm>
                    <a:prstGeom prst="rect"/>
                  </pic:spPr>
                </pic:pic>
              </a:graphicData>
            </a:graphic>
          </wp:inline>
        </w:drawing>
      </w:r>
    </w:p>
    <w:p>
      <w:pPr>
        <w:sectPr>
          <w:pgSz w:w="16838" w:h="11906" w:orient="landscape"/>
          <w:pgMar w:top="850" w:right="1020" w:bottom="850" w:left="1020" w:header="720" w:footer="720" w:gutter="0"/>
          <w:cols w:space="720"/>
          <w:docGrid w:linePitch="360"/>
        </w:sectPr>
      </w:pPr>
    </w:p>
    <w:p>
      <w:pPr>
        <w:pStyle w:val="Heading1"/>
      </w:pPr>
      <w:r>
        <w:t>Annexe B. Contrôle des sources (14 octobre 2026)</w:t>
      </w:r>
    </w:p>
    <w:p>
      <w:r>
        <w:rPr>
          <w:i w:val="0"/>
          <w:sz w:val="19"/>
        </w:rPr>
        <w:t>Méthode et limite : la lecture directe des sites est impossible depuis cet environnement (les adresses ne se résolvent pas). Chaque affirmation a donc été recoupée par recherche web, à partir d'extraits de pages officielles ou de sources secondaires. « Confirmé » signifie que l'extrait d'une source citée dit la même chose ; ce n'est pas une lecture de la page complète. Les notes de réalisme, durées et classements sont des avis et ne se vérifient pas. Les corrections issues du contrôle sont déjà appliquées dans cette version essentielle ; elles le sont aussi dans le plan complet.</w:t>
      </w:r>
    </w:p>
    <w:tbl>
      <w:tblPr>
        <w:tblStyle w:val="TableGrid"/>
        <w:jc w:val="center"/>
        <w:tblLayout w:type="fixed"/>
        <w:tblLook w:firstColumn="1" w:firstRow="1" w:lastColumn="0" w:lastRow="0" w:noHBand="0" w:noVBand="1" w:val="04A0"/>
        <w:tblLayout w:type="fixed"/>
        <w:tblW w:w="9639" w:type="dxa"/>
      </w:tblPr>
      <w:tblGrid>
        <w:gridCol w:w="3515"/>
        <w:gridCol w:w="2041"/>
        <w:gridCol w:w="4082"/>
      </w:tblGrid>
      <w:tr>
        <w:trPr>
          <w:tblHeader w:val="true"/>
        </w:trPr>
        <w:tc>
          <w:tcPr>
            <w:tcW w:type="dxa" w:w="3515"/>
            <w:shd w:val="clear" w:color="auto" w:fill="1F3A5F"/>
          </w:tcPr>
          <w:p>
            <w:r/>
            <w:r>
              <w:rPr>
                <w:b/>
                <w:color w:val="FFFFFF"/>
                <w:sz w:val="16"/>
              </w:rPr>
              <w:t>Affirmation du plan</w:t>
            </w:r>
          </w:p>
        </w:tc>
        <w:tc>
          <w:tcPr>
            <w:tcW w:type="dxa" w:w="2041"/>
            <w:shd w:val="clear" w:color="auto" w:fill="1F3A5F"/>
          </w:tcPr>
          <w:p>
            <w:r/>
            <w:r>
              <w:rPr>
                <w:b/>
                <w:color w:val="FFFFFF"/>
                <w:sz w:val="16"/>
              </w:rPr>
              <w:t>Résultat</w:t>
            </w:r>
          </w:p>
        </w:tc>
        <w:tc>
          <w:tcPr>
            <w:tcW w:type="dxa" w:w="4082"/>
            <w:shd w:val="clear" w:color="auto" w:fill="1F3A5F"/>
          </w:tcPr>
          <w:p>
            <w:r/>
            <w:r>
              <w:rPr>
                <w:b/>
                <w:color w:val="FFFFFF"/>
                <w:sz w:val="16"/>
              </w:rPr>
              <w:t>Écart ou précaution</w:t>
            </w:r>
          </w:p>
        </w:tc>
      </w:tr>
      <w:tr>
        <w:trPr>
          <w:cantSplit w:val="true"/>
        </w:trPr>
        <w:tc>
          <w:tcPr>
            <w:tcW w:type="dxa" w:w="3515"/>
            <w:shd w:val="clear" w:color="auto" w:fill="E3F2E8"/>
          </w:tcPr>
          <w:p>
            <w:pPr>
              <w:spacing w:after="0"/>
            </w:pPr>
            <w:r/>
            <w:r>
              <w:rPr>
                <w:sz w:val="16"/>
              </w:rPr>
              <w:t>HTB PRO : 49 $ par mois ou 490 $ par an dès le 30 septembre 2026</w:t>
            </w:r>
          </w:p>
        </w:tc>
        <w:tc>
          <w:tcPr>
            <w:tcW w:type="dxa" w:w="2041"/>
            <w:shd w:val="clear" w:color="auto" w:fill="E3F2E8"/>
          </w:tcPr>
          <w:p>
            <w:pPr>
              <w:spacing w:after="0"/>
            </w:pPr>
            <w:r/>
            <w:r>
              <w:rPr>
                <w:sz w:val="16"/>
              </w:rPr>
              <w:t>Confirmé (blog HackTheBox)</w:t>
            </w:r>
          </w:p>
        </w:tc>
        <w:tc>
          <w:tcPr>
            <w:tcW w:type="dxa" w:w="4082"/>
            <w:shd w:val="clear" w:color="auto" w:fill="E3F2E8"/>
          </w:tcPr>
          <w:p>
            <w:pPr>
              <w:spacing w:after="0"/>
            </w:pPr>
            <w:r/>
            <w:r>
              <w:rPr>
                <w:sz w:val="16"/>
              </w:rPr>
              <w:t>La liste des dix Pro Labs inclus n'a pas été retrouvée.</w:t>
            </w:r>
          </w:p>
        </w:tc>
      </w:tr>
      <w:tr>
        <w:trPr>
          <w:cantSplit w:val="true"/>
        </w:trPr>
        <w:tc>
          <w:tcPr>
            <w:tcW w:type="dxa" w:w="3515"/>
            <w:shd w:val="clear" w:color="auto" w:fill="E3F2E8"/>
          </w:tcPr>
          <w:p>
            <w:pPr>
              <w:spacing w:after="0"/>
            </w:pPr>
            <w:r/>
            <w:r>
              <w:rPr>
                <w:sz w:val="16"/>
              </w:rPr>
              <w:t>Rachat de Zero-Point Security par Fortra en avril 2026</w:t>
            </w:r>
          </w:p>
        </w:tc>
        <w:tc>
          <w:tcPr>
            <w:tcW w:type="dxa" w:w="2041"/>
            <w:shd w:val="clear" w:color="auto" w:fill="E3F2E8"/>
          </w:tcPr>
          <w:p>
            <w:pPr>
              <w:spacing w:after="0"/>
            </w:pPr>
            <w:r/>
            <w:r>
              <w:rPr>
                <w:sz w:val="16"/>
              </w:rPr>
              <w:t>Confirmé (Fortra, cabinet Gateley, presse)</w:t>
            </w:r>
          </w:p>
        </w:tc>
        <w:tc>
          <w:tcPr>
            <w:tcW w:type="dxa" w:w="4082"/>
            <w:shd w:val="clear" w:color="auto" w:fill="E3F2E8"/>
          </w:tcPr>
          <w:p>
            <w:pPr>
              <w:spacing w:after="0"/>
            </w:pPr>
            <w:r/>
            <w:r>
              <w:rPr>
                <w:sz w:val="16"/>
              </w:rPr>
              <w:t>Le 2 ou le 3 avril selon la source.</w:t>
            </w:r>
          </w:p>
        </w:tc>
      </w:tr>
      <w:tr>
        <w:trPr>
          <w:cantSplit w:val="true"/>
        </w:trPr>
        <w:tc>
          <w:tcPr>
            <w:tcW w:type="dxa" w:w="3515"/>
            <w:shd w:val="clear" w:color="auto" w:fill="E3F2E8"/>
          </w:tcPr>
          <w:p>
            <w:pPr>
              <w:spacing w:after="0"/>
            </w:pPr>
            <w:r/>
            <w:r>
              <w:rPr>
                <w:sz w:val="16"/>
              </w:rPr>
              <w:t>« CRTO II » est le cours Red Team Ops II, qui mène à la CRTL ; 399 £ avec bon d'examen ; lab vendu à part</w:t>
            </w:r>
          </w:p>
        </w:tc>
        <w:tc>
          <w:tcPr>
            <w:tcW w:type="dxa" w:w="2041"/>
            <w:shd w:val="clear" w:color="auto" w:fill="E3F2E8"/>
          </w:tcPr>
          <w:p>
            <w:pPr>
              <w:spacing w:after="0"/>
            </w:pPr>
            <w:r/>
            <w:r>
              <w:rPr>
                <w:sz w:val="16"/>
              </w:rPr>
              <w:t>Confirmé (avis de 2022 et 2023)</w:t>
            </w:r>
          </w:p>
        </w:tc>
        <w:tc>
          <w:tcPr>
            <w:tcW w:type="dxa" w:w="4082"/>
            <w:shd w:val="clear" w:color="auto" w:fill="E3F2E8"/>
          </w:tcPr>
          <w:p>
            <w:pPr>
              <w:spacing w:after="0"/>
            </w:pPr>
            <w:r/>
            <w:r>
              <w:rPr>
                <w:sz w:val="16"/>
              </w:rPr>
              <w:t>Prix actuel du lab non retrouvé : le plan le signale déjà comme incertain.</w:t>
            </w:r>
          </w:p>
        </w:tc>
      </w:tr>
      <w:tr>
        <w:trPr>
          <w:cantSplit w:val="true"/>
        </w:trPr>
        <w:tc>
          <w:tcPr>
            <w:tcW w:type="dxa" w:w="3515"/>
            <w:shd w:val="clear" w:color="auto" w:fill="E3F2E8"/>
          </w:tcPr>
          <w:p>
            <w:pPr>
              <w:spacing w:after="0"/>
            </w:pPr>
            <w:r/>
            <w:r>
              <w:rPr>
                <w:sz w:val="16"/>
              </w:rPr>
              <w:t>CRTO réécrit en mai 2025 et noté en partie sur la discrétion</w:t>
            </w:r>
          </w:p>
        </w:tc>
        <w:tc>
          <w:tcPr>
            <w:tcW w:type="dxa" w:w="2041"/>
            <w:shd w:val="clear" w:color="auto" w:fill="E3F2E8"/>
          </w:tcPr>
          <w:p>
            <w:pPr>
              <w:spacing w:after="0"/>
            </w:pPr>
            <w:r/>
            <w:r>
              <w:rPr>
                <w:sz w:val="16"/>
              </w:rPr>
              <w:t>Confirmé (plusieurs retours 2025 et 2026)</w:t>
            </w:r>
          </w:p>
        </w:tc>
        <w:tc>
          <w:tcPr>
            <w:tcW w:type="dxa" w:w="4082"/>
            <w:shd w:val="clear" w:color="auto" w:fill="E3F2E8"/>
          </w:tcPr>
          <w:p>
            <w:pPr>
              <w:spacing w:after="0"/>
            </w:pPr>
            <w:r/>
            <w:r>
              <w:rPr>
                <w:sz w:val="16"/>
              </w:rPr>
              <w:t>Seuil de réussite (85 % ou 70 %) et durée (24 h ou 48 h) divergent selon les sources ; Zero-Point ne publie pas le barème.</w:t>
            </w:r>
          </w:p>
        </w:tc>
      </w:tr>
      <w:tr>
        <w:trPr>
          <w:cantSplit w:val="true"/>
        </w:trPr>
        <w:tc>
          <w:tcPr>
            <w:tcW w:type="dxa" w:w="3515"/>
            <w:shd w:val="clear" w:color="auto" w:fill="E3F2E8"/>
          </w:tcPr>
          <w:p>
            <w:pPr>
              <w:spacing w:after="0"/>
            </w:pPr>
            <w:r/>
            <w:r>
              <w:rPr>
                <w:sz w:val="16"/>
              </w:rPr>
              <w:t>Lab CRTO : inclus, accès à vie</w:t>
            </w:r>
          </w:p>
        </w:tc>
        <w:tc>
          <w:tcPr>
            <w:tcW w:type="dxa" w:w="2041"/>
            <w:shd w:val="clear" w:color="auto" w:fill="E3F2E8"/>
          </w:tcPr>
          <w:p>
            <w:pPr>
              <w:spacing w:after="0"/>
            </w:pPr>
            <w:r/>
            <w:r>
              <w:rPr>
                <w:sz w:val="16"/>
              </w:rPr>
              <w:t>Confirmé par toi</w:t>
            </w:r>
          </w:p>
        </w:tc>
        <w:tc>
          <w:tcPr>
            <w:tcW w:type="dxa" w:w="4082"/>
            <w:shd w:val="clear" w:color="auto" w:fill="E3F2E8"/>
          </w:tcPr>
          <w:p>
            <w:pPr>
              <w:spacing w:after="0"/>
            </w:pPr>
            <w:r/>
            <w:r>
              <w:rPr>
                <w:sz w:val="16"/>
              </w:rPr>
              <w:t>Cohérent avec une source tierce d'août 2026 (labs sans expiration, reprises d'examen gratuites et illimitées). Plan corrigé.</w:t>
            </w:r>
          </w:p>
        </w:tc>
      </w:tr>
      <w:tr>
        <w:trPr>
          <w:cantSplit w:val="true"/>
        </w:trPr>
        <w:tc>
          <w:tcPr>
            <w:tcW w:type="dxa" w:w="3515"/>
            <w:shd w:val="clear" w:color="auto" w:fill="E3F2E8"/>
          </w:tcPr>
          <w:p>
            <w:pPr>
              <w:spacing w:after="0"/>
            </w:pPr>
            <w:r/>
            <w:r>
              <w:rPr>
                <w:sz w:val="16"/>
              </w:rPr>
              <w:t>Push et Sidecar disponibles</w:t>
            </w:r>
          </w:p>
        </w:tc>
        <w:tc>
          <w:tcPr>
            <w:tcW w:type="dxa" w:w="2041"/>
            <w:shd w:val="clear" w:color="auto" w:fill="E3F2E8"/>
          </w:tcPr>
          <w:p>
            <w:pPr>
              <w:spacing w:after="0"/>
            </w:pPr>
            <w:r/>
            <w:r>
              <w:rPr>
                <w:sz w:val="16"/>
              </w:rPr>
              <w:t>Confirmé par toi</w:t>
            </w:r>
          </w:p>
        </w:tc>
        <w:tc>
          <w:tcPr>
            <w:tcW w:type="dxa" w:w="4082"/>
            <w:shd w:val="clear" w:color="auto" w:fill="E3F2E8"/>
          </w:tcPr>
          <w:p>
            <w:pPr>
              <w:spacing w:after="0"/>
            </w:pPr>
            <w:r/>
            <w:r>
              <w:rPr>
                <w:sz w:val="16"/>
              </w:rPr>
              <w:t>La date de parution (janvier 2026) n'a pas été retrouvée par recherche ; sans conséquence puisque les labs sont disponibles.</w:t>
            </w:r>
          </w:p>
        </w:tc>
      </w:tr>
      <w:tr>
        <w:trPr>
          <w:cantSplit w:val="true"/>
        </w:trPr>
        <w:tc>
          <w:tcPr>
            <w:tcW w:type="dxa" w:w="3515"/>
            <w:shd w:val="clear" w:color="auto" w:fill="E3F2E8"/>
          </w:tcPr>
          <w:p>
            <w:pPr>
              <w:spacing w:after="0"/>
            </w:pPr>
            <w:r/>
            <w:r>
              <w:rPr>
                <w:sz w:val="16"/>
              </w:rPr>
              <w:t>BSCP : licence Burp Suite Professional exigée</w:t>
            </w:r>
          </w:p>
        </w:tc>
        <w:tc>
          <w:tcPr>
            <w:tcW w:type="dxa" w:w="2041"/>
            <w:shd w:val="clear" w:color="auto" w:fill="E3F2E8"/>
          </w:tcPr>
          <w:p>
            <w:pPr>
              <w:spacing w:after="0"/>
            </w:pPr>
            <w:r/>
            <w:r>
              <w:rPr>
                <w:sz w:val="16"/>
              </w:rPr>
              <w:t>Confirmé (FAQ PortSwigger)</w:t>
            </w:r>
          </w:p>
        </w:tc>
        <w:tc>
          <w:tcPr>
            <w:tcW w:type="dxa" w:w="4082"/>
            <w:shd w:val="clear" w:color="auto" w:fill="E3F2E8"/>
          </w:tcPr>
          <w:p>
            <w:pPr>
              <w:spacing w:after="0"/>
            </w:pPr>
            <w:r/>
            <w:r>
              <w:rPr>
                <w:sz w:val="16"/>
              </w:rPr>
              <w:t>99 $ est le prix de l'examen (source tierce), pas d'une reprise : prix de reprise non trouvé. Corrigé dans le budget.</w:t>
            </w:r>
          </w:p>
        </w:tc>
      </w:tr>
      <w:tr>
        <w:trPr>
          <w:cantSplit w:val="true"/>
        </w:trPr>
        <w:tc>
          <w:tcPr>
            <w:tcW w:type="dxa" w:w="3515"/>
            <w:shd w:val="clear" w:color="auto" w:fill="E3F2E8"/>
          </w:tcPr>
          <w:p>
            <w:pPr>
              <w:spacing w:after="0"/>
            </w:pPr>
            <w:r/>
            <w:r>
              <w:rPr>
                <w:sz w:val="16"/>
              </w:rPr>
              <w:t>OSEP : 1 749 $ pour 90 jours et une tentative ; Learn One 2 749 $ par an</w:t>
            </w:r>
          </w:p>
        </w:tc>
        <w:tc>
          <w:tcPr>
            <w:tcW w:type="dxa" w:w="2041"/>
            <w:shd w:val="clear" w:color="auto" w:fill="E3F2E8"/>
          </w:tcPr>
          <w:p>
            <w:pPr>
              <w:spacing w:after="0"/>
            </w:pPr>
            <w:r/>
            <w:r>
              <w:rPr>
                <w:sz w:val="16"/>
              </w:rPr>
              <w:t>Confirmé (pages OffSec)</w:t>
            </w:r>
          </w:p>
        </w:tc>
        <w:tc>
          <w:tcPr>
            <w:tcW w:type="dxa" w:w="4082"/>
            <w:shd w:val="clear" w:color="auto" w:fill="E3F2E8"/>
          </w:tcPr>
          <w:p>
            <w:pPr>
              <w:spacing w:after="0"/>
            </w:pPr>
            <w:r/>
            <w:r>
              <w:rPr>
                <w:sz w:val="16"/>
              </w:rPr>
              <w:t>-</w:t>
            </w:r>
          </w:p>
        </w:tc>
      </w:tr>
      <w:tr>
        <w:trPr>
          <w:cantSplit w:val="true"/>
        </w:trPr>
        <w:tc>
          <w:tcPr>
            <w:tcW w:type="dxa" w:w="3515"/>
            <w:shd w:val="clear" w:color="auto" w:fill="E3F2E8"/>
          </w:tcPr>
          <w:p>
            <w:pPr>
              <w:spacing w:after="0"/>
            </w:pPr>
            <w:r/>
            <w:r>
              <w:rPr>
                <w:sz w:val="16"/>
              </w:rPr>
              <w:t>Lab CETP : 449 $ (30 j), 649 $ (60 j), 849 $ (90 j)</w:t>
            </w:r>
          </w:p>
        </w:tc>
        <w:tc>
          <w:tcPr>
            <w:tcW w:type="dxa" w:w="2041"/>
            <w:shd w:val="clear" w:color="auto" w:fill="E3F2E8"/>
          </w:tcPr>
          <w:p>
            <w:pPr>
              <w:spacing w:after="0"/>
            </w:pPr>
            <w:r/>
            <w:r>
              <w:rPr>
                <w:sz w:val="16"/>
              </w:rPr>
              <w:t>Confirmé (page officielle Altered Security, non datée)</w:t>
            </w:r>
          </w:p>
        </w:tc>
        <w:tc>
          <w:tcPr>
            <w:tcW w:type="dxa" w:w="4082"/>
            <w:shd w:val="clear" w:color="auto" w:fill="E3F2E8"/>
          </w:tcPr>
          <w:p>
            <w:pPr>
              <w:spacing w:after="0"/>
            </w:pPr>
            <w:r/>
            <w:r>
              <w:rPr>
                <w:sz w:val="16"/>
              </w:rPr>
              <w:t>Reprise d'examen à 99 $ ; une autre offre « bootcamp » à 549 $ pour 35 jours existe.</w:t>
            </w:r>
          </w:p>
        </w:tc>
      </w:tr>
      <w:tr>
        <w:trPr>
          <w:cantSplit w:val="true"/>
        </w:trPr>
        <w:tc>
          <w:tcPr>
            <w:tcW w:type="dxa" w:w="3515"/>
            <w:shd w:val="clear" w:color="auto" w:fill="E3F2E8"/>
          </w:tcPr>
          <w:p>
            <w:pPr>
              <w:spacing w:after="0"/>
            </w:pPr>
            <w:r/>
            <w:r>
              <w:rPr>
                <w:sz w:val="16"/>
              </w:rPr>
              <w:t>Shinra : 14 machines, 12 drapeaux ; Ifrit : 10 machines, 7 drapeaux, évasion</w:t>
            </w:r>
          </w:p>
        </w:tc>
        <w:tc>
          <w:tcPr>
            <w:tcW w:type="dxa" w:w="2041"/>
            <w:shd w:val="clear" w:color="auto" w:fill="E3F2E8"/>
          </w:tcPr>
          <w:p>
            <w:pPr>
              <w:spacing w:after="0"/>
            </w:pPr>
            <w:r/>
            <w:r>
              <w:rPr>
                <w:sz w:val="16"/>
              </w:rPr>
              <w:t>Confirmé (journal HackTheBox)</w:t>
            </w:r>
          </w:p>
        </w:tc>
        <w:tc>
          <w:tcPr>
            <w:tcW w:type="dxa" w:w="4082"/>
            <w:shd w:val="clear" w:color="auto" w:fill="E3F2E8"/>
          </w:tcPr>
          <w:p>
            <w:pPr>
              <w:spacing w:after="0"/>
            </w:pPr>
            <w:r/>
            <w:r>
              <w:rPr>
                <w:sz w:val="16"/>
              </w:rPr>
              <w:t>La description officielle parle de contourner l'EDR et d'éviter la détection du SOC ; « EDR sur tous les postes » n'a pas été retrouvé tel quel.</w:t>
            </w:r>
          </w:p>
        </w:tc>
      </w:tr>
      <w:tr>
        <w:trPr>
          <w:cantSplit w:val="true"/>
        </w:trPr>
        <w:tc>
          <w:tcPr>
            <w:tcW w:type="dxa" w:w="3515"/>
            <w:shd w:val="clear" w:color="auto" w:fill="E3F2E8"/>
          </w:tcPr>
          <w:p>
            <w:pPr>
              <w:spacing w:after="0"/>
            </w:pPr>
            <w:r/>
            <w:r>
              <w:rPr>
                <w:sz w:val="16"/>
              </w:rPr>
              <w:t>Write-ups des Pro Labs interdits, sauf POO, Xen, Ascension, RPG et Hades</w:t>
            </w:r>
          </w:p>
        </w:tc>
        <w:tc>
          <w:tcPr>
            <w:tcW w:type="dxa" w:w="2041"/>
            <w:shd w:val="clear" w:color="auto" w:fill="E3F2E8"/>
          </w:tcPr>
          <w:p>
            <w:pPr>
              <w:spacing w:after="0"/>
            </w:pPr>
            <w:r/>
            <w:r>
              <w:rPr>
                <w:sz w:val="16"/>
              </w:rPr>
              <w:t>Confirmé (règles de la plateforme HackTheBox)</w:t>
            </w:r>
          </w:p>
        </w:tc>
        <w:tc>
          <w:tcPr>
            <w:tcW w:type="dxa" w:w="4082"/>
            <w:shd w:val="clear" w:color="auto" w:fill="E3F2E8"/>
          </w:tcPr>
          <w:p>
            <w:pPr>
              <w:spacing w:after="0"/>
            </w:pPr>
            <w:r/>
            <w:r>
              <w:rPr>
                <w:sz w:val="16"/>
              </w:rPr>
              <w:t>-</w:t>
            </w:r>
          </w:p>
        </w:tc>
      </w:tr>
      <w:tr>
        <w:trPr>
          <w:cantSplit w:val="true"/>
        </w:trPr>
        <w:tc>
          <w:tcPr>
            <w:tcW w:type="dxa" w:w="3515"/>
            <w:shd w:val="clear" w:color="auto" w:fill="E3F2E8"/>
          </w:tcPr>
          <w:p>
            <w:pPr>
              <w:spacing w:after="0"/>
            </w:pPr>
            <w:r/>
            <w:r>
              <w:rPr>
                <w:sz w:val="16"/>
              </w:rPr>
              <w:t>Cours EDR Internals &amp; Development de Maldev Academy : agent MaldevEdr, pilote ELAM, minifiltres, rappels noyau, ETW-TI</w:t>
            </w:r>
          </w:p>
        </w:tc>
        <w:tc>
          <w:tcPr>
            <w:tcW w:type="dxa" w:w="2041"/>
            <w:shd w:val="clear" w:color="auto" w:fill="E3F2E8"/>
          </w:tcPr>
          <w:p>
            <w:pPr>
              <w:spacing w:after="0"/>
            </w:pPr>
            <w:r/>
            <w:r>
              <w:rPr>
                <w:sz w:val="16"/>
              </w:rPr>
              <w:t>Confirmé (page du cours, programme, publications)</w:t>
            </w:r>
          </w:p>
        </w:tc>
        <w:tc>
          <w:tcPr>
            <w:tcW w:type="dxa" w:w="4082"/>
            <w:shd w:val="clear" w:color="auto" w:fill="E3F2E8"/>
          </w:tcPr>
          <w:p>
            <w:pPr>
              <w:spacing w:after="0"/>
            </w:pPr>
            <w:r/>
            <w:r>
              <w:rPr>
                <w:sz w:val="16"/>
              </w:rPr>
              <w:t>Prix, durée et prérequis non retrouvés. Ne pas confondre avec le cours homonyme de TrainSec.</w:t>
            </w:r>
          </w:p>
        </w:tc>
      </w:tr>
      <w:tr>
        <w:trPr>
          <w:cantSplit w:val="true"/>
        </w:trPr>
        <w:tc>
          <w:tcPr>
            <w:tcW w:type="dxa" w:w="3515"/>
            <w:shd w:val="clear" w:color="auto" w:fill="E3F2E8"/>
          </w:tcPr>
          <w:p>
            <w:pPr>
              <w:spacing w:after="0"/>
            </w:pPr>
            <w:r/>
            <w:r>
              <w:rPr>
                <w:sz w:val="16"/>
              </w:rPr>
              <w:t>Référentiels PASSI 2.2 et PRIS 3.0 du 29 novembre 2024</w:t>
            </w:r>
          </w:p>
        </w:tc>
        <w:tc>
          <w:tcPr>
            <w:tcW w:type="dxa" w:w="2041"/>
            <w:shd w:val="clear" w:color="auto" w:fill="E3F2E8"/>
          </w:tcPr>
          <w:p>
            <w:pPr>
              <w:spacing w:after="0"/>
            </w:pPr>
            <w:r/>
            <w:r>
              <w:rPr>
                <w:sz w:val="16"/>
              </w:rPr>
              <w:t>Confirmé (ANSSI)</w:t>
            </w:r>
          </w:p>
        </w:tc>
        <w:tc>
          <w:tcPr>
            <w:tcW w:type="dxa" w:w="4082"/>
            <w:shd w:val="clear" w:color="auto" w:fill="E3F2E8"/>
          </w:tcPr>
          <w:p>
            <w:pPr>
              <w:spacing w:after="0"/>
            </w:pPr>
            <w:r/>
            <w:r>
              <w:rPr>
                <w:sz w:val="16"/>
              </w:rPr>
              <w:t>-</w:t>
            </w:r>
          </w:p>
        </w:tc>
      </w:tr>
      <w:tr>
        <w:trPr>
          <w:cantSplit w:val="true"/>
        </w:trPr>
        <w:tc>
          <w:tcPr>
            <w:tcW w:type="dxa" w:w="3515"/>
            <w:shd w:val="clear" w:color="auto" w:fill="E3F2E8"/>
          </w:tcPr>
          <w:p>
            <w:pPr>
              <w:spacing w:after="0"/>
            </w:pPr>
            <w:r/>
            <w:r>
              <w:rPr>
                <w:sz w:val="16"/>
              </w:rPr>
              <w:t>DORA : applicable depuis le 17 janvier 2025 ; règlement délégué 2025/1190</w:t>
            </w:r>
          </w:p>
        </w:tc>
        <w:tc>
          <w:tcPr>
            <w:tcW w:type="dxa" w:w="2041"/>
            <w:shd w:val="clear" w:color="auto" w:fill="E3F2E8"/>
          </w:tcPr>
          <w:p>
            <w:pPr>
              <w:spacing w:after="0"/>
            </w:pPr>
            <w:r/>
            <w:r>
              <w:rPr>
                <w:sz w:val="16"/>
              </w:rPr>
              <w:t>Confirmé (règlement du 13 février 2025)</w:t>
            </w:r>
          </w:p>
        </w:tc>
        <w:tc>
          <w:tcPr>
            <w:tcW w:type="dxa" w:w="4082"/>
            <w:shd w:val="clear" w:color="auto" w:fill="E3F2E8"/>
          </w:tcPr>
          <w:p>
            <w:pPr>
              <w:spacing w:after="0"/>
            </w:pPr>
            <w:r/>
            <w:r>
              <w:rPr>
                <w:sz w:val="16"/>
              </w:rPr>
              <w:t>Date d'application de la norme technique : sources divergentes (juillet 2025 citée). À vérifier.</w:t>
            </w:r>
          </w:p>
        </w:tc>
      </w:tr>
      <w:tr>
        <w:trPr>
          <w:cantSplit w:val="true"/>
        </w:trPr>
        <w:tc>
          <w:tcPr>
            <w:tcW w:type="dxa" w:w="3515"/>
            <w:shd w:val="clear" w:color="auto" w:fill="E3F2E8"/>
          </w:tcPr>
          <w:p>
            <w:pPr>
              <w:spacing w:after="0"/>
            </w:pPr>
            <w:r/>
            <w:r>
              <w:rPr>
                <w:sz w:val="16"/>
              </w:rPr>
              <w:t>Ludus avec Elastic Defend</w:t>
            </w:r>
          </w:p>
        </w:tc>
        <w:tc>
          <w:tcPr>
            <w:tcW w:type="dxa" w:w="2041"/>
            <w:shd w:val="clear" w:color="auto" w:fill="E3F2E8"/>
          </w:tcPr>
          <w:p>
            <w:pPr>
              <w:spacing w:after="0"/>
            </w:pPr>
            <w:r/>
            <w:r>
              <w:rPr>
                <w:sz w:val="16"/>
              </w:rPr>
              <w:t>Confirmé (Elastic Security Labs)</w:t>
            </w:r>
          </w:p>
        </w:tc>
        <w:tc>
          <w:tcPr>
            <w:tcW w:type="dxa" w:w="4082"/>
            <w:shd w:val="clear" w:color="auto" w:fill="E3F2E8"/>
          </w:tcPr>
          <w:p>
            <w:pPr>
              <w:spacing w:after="0"/>
            </w:pPr>
            <w:r/>
            <w:r>
              <w:rPr>
                <w:sz w:val="16"/>
              </w:rPr>
              <w:t>-</w:t>
            </w:r>
          </w:p>
        </w:tc>
      </w:tr>
      <w:tr>
        <w:trPr>
          <w:cantSplit w:val="true"/>
        </w:trPr>
        <w:tc>
          <w:tcPr>
            <w:tcW w:type="dxa" w:w="3515"/>
            <w:shd w:val="clear" w:color="auto" w:fill="FFF4D6"/>
          </w:tcPr>
          <w:p>
            <w:pPr>
              <w:spacing w:after="0"/>
            </w:pPr>
            <w:r/>
            <w:r>
              <w:rPr>
                <w:sz w:val="16"/>
              </w:rPr>
              <w:t>Modern C : version antérieure gratuite, 3e édition payante</w:t>
            </w:r>
          </w:p>
        </w:tc>
        <w:tc>
          <w:tcPr>
            <w:tcW w:type="dxa" w:w="2041"/>
            <w:shd w:val="clear" w:color="auto" w:fill="FFF4D6"/>
          </w:tcPr>
          <w:p>
            <w:pPr>
              <w:spacing w:after="0"/>
            </w:pPr>
            <w:r/>
            <w:r>
              <w:rPr>
                <w:sz w:val="16"/>
              </w:rPr>
              <w:t>Partiel</w:t>
            </w:r>
          </w:p>
        </w:tc>
        <w:tc>
          <w:tcPr>
            <w:tcW w:type="dxa" w:w="4082"/>
            <w:shd w:val="clear" w:color="auto" w:fill="FFF4D6"/>
          </w:tcPr>
          <w:p>
            <w:pPr>
              <w:spacing w:after="0"/>
            </w:pPr>
            <w:r/>
            <w:r>
              <w:rPr>
                <w:sz w:val="16"/>
              </w:rPr>
              <w:t>3e édition (2025) payante confirmée ; le manuscrit est publié sous licence Creative Commons non commerciale, emplacement du téléchargement non confirmé.</w:t>
            </w:r>
          </w:p>
        </w:tc>
      </w:tr>
      <w:tr>
        <w:trPr>
          <w:cantSplit w:val="true"/>
        </w:trPr>
        <w:tc>
          <w:tcPr>
            <w:tcW w:type="dxa" w:w="3515"/>
            <w:shd w:val="clear" w:color="auto" w:fill="FBE0E0"/>
          </w:tcPr>
          <w:p>
            <w:pPr>
              <w:spacing w:after="0"/>
            </w:pPr>
            <w:r/>
            <w:r>
              <w:rPr>
                <w:sz w:val="16"/>
              </w:rPr>
              <w:t>Offre Synacktiv « Red Teamer Pentester », 58 000 €, trois ans d'expérience, juillet 2026</w:t>
            </w:r>
          </w:p>
        </w:tc>
        <w:tc>
          <w:tcPr>
            <w:tcW w:type="dxa" w:w="2041"/>
            <w:shd w:val="clear" w:color="auto" w:fill="FBE0E0"/>
          </w:tcPr>
          <w:p>
            <w:pPr>
              <w:spacing w:after="0"/>
            </w:pPr>
            <w:r/>
            <w:r>
              <w:rPr>
                <w:sz w:val="16"/>
              </w:rPr>
              <w:t>Non retrouvée</w:t>
            </w:r>
          </w:p>
        </w:tc>
        <w:tc>
          <w:tcPr>
            <w:tcW w:type="dxa" w:w="4082"/>
            <w:shd w:val="clear" w:color="auto" w:fill="FBE0E0"/>
          </w:tcPr>
          <w:p>
            <w:pPr>
              <w:spacing w:after="0"/>
            </w:pPr>
            <w:r/>
            <w:r>
              <w:rPr>
                <w:sz w:val="16"/>
              </w:rPr>
              <w:t>Seule offre retrouvée : pentester, minimum 44 400 € brut, sans mention des trois ans. L'argument « trois ans d'expérience offensive exigés » repose sur une source non revérifiée : à prendre comme indicatif.</w:t>
            </w:r>
          </w:p>
        </w:tc>
      </w:tr>
      <w:tr>
        <w:trPr>
          <w:cantSplit w:val="true"/>
        </w:trPr>
        <w:tc>
          <w:tcPr>
            <w:tcW w:type="dxa" w:w="3515"/>
            <w:shd w:val="clear" w:color="auto" w:fill="FBE0E0"/>
          </w:tcPr>
          <w:p>
            <w:pPr>
              <w:spacing w:after="0"/>
            </w:pPr>
            <w:r/>
            <w:r>
              <w:rPr>
                <w:sz w:val="16"/>
              </w:rPr>
              <w:t>Guide TIBER-FR version 5 de la Banque de France, mars 2025</w:t>
            </w:r>
          </w:p>
        </w:tc>
        <w:tc>
          <w:tcPr>
            <w:tcW w:type="dxa" w:w="2041"/>
            <w:shd w:val="clear" w:color="auto" w:fill="FBE0E0"/>
          </w:tcPr>
          <w:p>
            <w:pPr>
              <w:spacing w:after="0"/>
            </w:pPr>
            <w:r/>
            <w:r>
              <w:rPr>
                <w:sz w:val="16"/>
              </w:rPr>
              <w:t>Non confirmé</w:t>
            </w:r>
          </w:p>
        </w:tc>
        <w:tc>
          <w:tcPr>
            <w:tcW w:type="dxa" w:w="4082"/>
            <w:shd w:val="clear" w:color="auto" w:fill="FBE0E0"/>
          </w:tcPr>
          <w:p>
            <w:pPr>
              <w:spacing w:after="0"/>
            </w:pPr>
            <w:r/>
            <w:r>
              <w:rPr>
                <w:sz w:val="16"/>
              </w:rPr>
              <w:t>Le cadre TIBER-EU et DORA est confirmé, pas ce guide précis.</w:t>
            </w:r>
          </w:p>
        </w:tc>
      </w:tr>
      <w:tr>
        <w:trPr>
          <w:cantSplit w:val="true"/>
        </w:trPr>
        <w:tc>
          <w:tcPr>
            <w:tcW w:type="dxa" w:w="3515"/>
            <w:shd w:val="clear" w:color="auto" w:fill="FBE0E0"/>
          </w:tcPr>
          <w:p>
            <w:pPr>
              <w:spacing w:after="0"/>
            </w:pPr>
            <w:r/>
            <w:r>
              <w:rPr>
                <w:sz w:val="16"/>
              </w:rPr>
              <w:t>OpenSecurityTraining2 gratuit</w:t>
            </w:r>
          </w:p>
        </w:tc>
        <w:tc>
          <w:tcPr>
            <w:tcW w:type="dxa" w:w="2041"/>
            <w:shd w:val="clear" w:color="auto" w:fill="FBE0E0"/>
          </w:tcPr>
          <w:p>
            <w:pPr>
              <w:spacing w:after="0"/>
            </w:pPr>
            <w:r/>
            <w:r>
              <w:rPr>
                <w:sz w:val="16"/>
              </w:rPr>
              <w:t>Non confirmé</w:t>
            </w:r>
          </w:p>
        </w:tc>
        <w:tc>
          <w:tcPr>
            <w:tcW w:type="dxa" w:w="4082"/>
            <w:shd w:val="clear" w:color="auto" w:fill="FBE0E0"/>
          </w:tcPr>
          <w:p>
            <w:pPr>
              <w:spacing w:after="0"/>
            </w:pPr>
            <w:r/>
            <w:r>
              <w:rPr>
                <w:sz w:val="16"/>
              </w:rPr>
              <w:t>Cours WinDbg et assembleur x86-64 confirmés ; gratuité non confirmée : à vérifier sur le site.</w:t>
            </w:r>
          </w:p>
        </w:tc>
      </w:tr>
    </w:tbl>
    <w:p>
      <w:pPr>
        <w:spacing w:after="40"/>
      </w:pPr>
    </w:p>
    <w:p>
      <w:r>
        <w:rPr>
          <w:i/>
          <w:color w:val="555555"/>
          <w:sz w:val="18"/>
        </w:rPr>
        <w:t>Non revérifié lors de cette passe : prix TryHackMe, Proving Grounds, CRTA, CARTP et Global Central Bank ; cours XINTRA à 1 950 $ ; prix Sektor7 ; offres XMCO, BNP Paribas et Euro-Information ; fourchettes de salaires. Légende : vert = confirmé, orange = partiel, rouge = non retrouvé.</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 xml:space="preserve">Plan de carrière Red Team - version essentielle - page </w:t>
    </w:r>
    <w:r>
      <w:rPr>
        <w:color w:val="555555"/>
        <w:sz w:val="17"/>
      </w:rPr>
      <w:fldChar w:fldCharType="begin"/>
    </w:r>
    <w:r>
      <w:rPr>
        <w:color w:val="555555"/>
        <w:sz w:val="17"/>
      </w:rPr>
      <w:instrText xml:space="preserve">PAGE</w:instrText>
    </w:r>
    <w:r>
      <w:rPr>
        <w:color w:val="555555"/>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