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AegisBank 安全自评报告</w:t>
      </w:r>
    </w:p>
    <w:p>
      <w:r>
        <w:t>自评日期：2026-10-31｜本地模拟原型；不是生产认证或专业渗透测试结论。</w:t>
      </w:r>
    </w:p>
    <w:p>
      <w:r>
        <w:t>仓库：https://github.com/0xChainAegis/aegisbank</w:t>
      </w:r>
    </w:p>
    <w:p>
      <w:pPr>
        <w:pStyle w:val="Heading1"/>
      </w:pPr>
      <w:r>
        <w:t>1. 权限分级实现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等级</w:t>
            </w:r>
          </w:p>
        </w:tc>
        <w:tc>
          <w:tcPr>
            <w:tcW w:type="dxa" w:w="5112"/>
          </w:tcPr>
          <w:p>
            <w:r>
              <w:t>执行策略与代表操作</w:t>
            </w:r>
          </w:p>
        </w:tc>
      </w:tr>
      <w:tr>
        <w:tc>
          <w:tcPr>
            <w:tcW w:type="dxa" w:w="5112"/>
          </w:tcPr>
          <w:p>
            <w:r>
              <w:t>绿色</w:t>
            </w:r>
          </w:p>
        </w:tc>
        <w:tc>
          <w:tcPr>
            <w:tcW w:type="dxa" w:w="5112"/>
          </w:tcPr>
          <w:p>
            <w:r>
              <w:t>满足最小权限后自动执行余额、账单、交易等查询</w:t>
            </w:r>
          </w:p>
        </w:tc>
      </w:tr>
      <w:tr>
        <w:tc>
          <w:tcPr>
            <w:tcW w:type="dxa" w:w="5112"/>
          </w:tcPr>
          <w:p>
            <w:r>
              <w:t>黄色</w:t>
            </w:r>
          </w:p>
        </w:tc>
        <w:tc>
          <w:tcPr>
            <w:tcW w:type="dxa" w:w="5112"/>
          </w:tcPr>
          <w:p>
            <w:r>
              <w:t>展示当前对象 / 金额 / 风险并明确确认；包括日累计含本次 ≤1000 元的小额转账、取消订阅等</w:t>
            </w:r>
          </w:p>
        </w:tc>
      </w:tr>
      <w:tr>
        <w:tc>
          <w:tcPr>
            <w:tcW w:type="dxa" w:w="5112"/>
          </w:tcPr>
          <w:p>
            <w:r>
              <w:t>红色</w:t>
            </w:r>
          </w:p>
        </w:tc>
        <w:tc>
          <w:tcPr>
            <w:tcW w:type="dxa" w:w="5112"/>
          </w:tcPr>
          <w:p>
            <w:r>
              <w:t>明确确认并完成演示 OTP 或模拟生物识别；包括单笔 &gt;5000 元、日累计 &gt;1000 元转账、挂失 / 解挂、理财申购等</w:t>
            </w:r>
          </w:p>
        </w:tc>
      </w:tr>
    </w:tbl>
    <w:p>
      <w:r>
        <w:t>风险只能保持或上调。AuthzService 是能力校验的唯一口径；角色请求头不是认证。执行前重新评估风险、权限与 ActionEnvelope，撤权、过期、版本或哈希不一致均阻断。</w:t>
      </w:r>
    </w:p>
    <w:p>
      <w:pPr>
        <w:pStyle w:val="Heading1"/>
      </w:pPr>
      <w:r>
        <w:t>2. 安全控制与验收依据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风险</w:t>
            </w:r>
          </w:p>
        </w:tc>
        <w:tc>
          <w:tcPr>
            <w:tcW w:type="dxa" w:w="3408"/>
          </w:tcPr>
          <w:p>
            <w:r>
              <w:t>当前控制</w:t>
            </w:r>
          </w:p>
        </w:tc>
        <w:tc>
          <w:tcPr>
            <w:tcW w:type="dxa" w:w="3408"/>
          </w:tcPr>
          <w:p>
            <w:r>
              <w:t>主要验证入口</w:t>
            </w:r>
          </w:p>
        </w:tc>
      </w:tr>
      <w:tr>
        <w:tc>
          <w:tcPr>
            <w:tcW w:type="dxa" w:w="3408"/>
          </w:tcPr>
          <w:p>
            <w:r>
              <w:t>幻觉与错误对象</w:t>
            </w:r>
          </w:p>
        </w:tc>
        <w:tc>
          <w:tcPr>
            <w:tcW w:type="dxa" w:w="3408"/>
          </w:tcPr>
          <w:p>
            <w:r>
              <w:t>确定性 Mock 事实、当前用户受控实体、候选白名单、歧义澄清</w:t>
            </w:r>
          </w:p>
        </w:tc>
        <w:tc>
          <w:tcPr>
            <w:tcW w:type="dxa" w:w="3408"/>
          </w:tcPr>
          <w:p>
            <w:r>
              <w:t>test_semantics、test_semantic_legacy、test_p0_core_feedback、test_u1_evaluation</w:t>
            </w:r>
          </w:p>
        </w:tc>
      </w:tr>
      <w:tr>
        <w:tc>
          <w:tcPr>
            <w:tcW w:type="dxa" w:w="3408"/>
          </w:tcPr>
          <w:p>
            <w:r>
              <w:t>Prompt 注入</w:t>
            </w:r>
          </w:p>
        </w:tc>
        <w:tc>
          <w:tcPr>
            <w:tcW w:type="dxa" w:w="3408"/>
          </w:tcPr>
          <w:p>
            <w:r>
              <w:t>指令与参数检查、整条任务拒绝、跨轮不继承权限</w:t>
            </w:r>
          </w:p>
        </w:tc>
        <w:tc>
          <w:tcPr>
            <w:tcW w:type="dxa" w:w="3408"/>
          </w:tcPr>
          <w:p>
            <w:r>
              <w:t>test_trust、test_nlp_safety</w:t>
            </w:r>
          </w:p>
        </w:tc>
      </w:tr>
      <w:tr>
        <w:tc>
          <w:tcPr>
            <w:tcW w:type="dxa" w:w="3408"/>
          </w:tcPr>
          <w:p>
            <w:r>
              <w:t>重放与重复扣款</w:t>
            </w:r>
          </w:p>
        </w:tc>
        <w:tc>
          <w:tcPr>
            <w:tcW w:type="dxa" w:w="3408"/>
          </w:tcPr>
          <w:p>
            <w:r>
              <w:t>nonce、有效期、计划 / 参数绑定、幂等键、草稿版本</w:t>
            </w:r>
          </w:p>
        </w:tc>
        <w:tc>
          <w:tcPr>
            <w:tcW w:type="dxa" w:w="3408"/>
          </w:tcPr>
          <w:p>
            <w:r>
              <w:t>test_trust、test_u2_lead_integration、test_u4_delivery_regression</w:t>
            </w:r>
          </w:p>
        </w:tc>
      </w:tr>
      <w:tr>
        <w:tc>
          <w:tcPr>
            <w:tcW w:type="dxa" w:w="3408"/>
          </w:tcPr>
          <w:p>
            <w:r>
              <w:t>未就绪与未知结果</w:t>
            </w:r>
          </w:p>
        </w:tc>
        <w:tc>
          <w:tcPr>
            <w:tcW w:type="dxa" w:w="3408"/>
          </w:tcPr>
          <w:p>
            <w:r>
              <w:t>readiness fail closed；UNKNOWN 不自动重试或展示成功</w:t>
            </w:r>
          </w:p>
        </w:tc>
        <w:tc>
          <w:tcPr>
            <w:tcW w:type="dxa" w:w="3408"/>
          </w:tcPr>
          <w:p>
            <w:r>
              <w:t>test_trust、test_compensation、前端 security.test.tsx</w:t>
            </w:r>
          </w:p>
        </w:tc>
      </w:tr>
      <w:tr>
        <w:tc>
          <w:tcPr>
            <w:tcW w:type="dxa" w:w="3408"/>
          </w:tcPr>
          <w:p>
            <w:r>
              <w:t>可疑行为</w:t>
            </w:r>
          </w:p>
        </w:tc>
        <w:tc>
          <w:tcPr>
            <w:tcW w:type="dxa" w:w="3408"/>
          </w:tcPr>
          <w:p>
            <w:r>
              <w:t>按用户熔断，合法只读保留；operator 解锁并写审计</w:t>
            </w:r>
          </w:p>
        </w:tc>
        <w:tc>
          <w:tcPr>
            <w:tcW w:type="dxa" w:w="3408"/>
          </w:tcPr>
          <w:p>
            <w:r>
              <w:t>test_breaker、test_breaker_business_effects、test_p0_core_feedback</w:t>
            </w:r>
          </w:p>
        </w:tc>
      </w:tr>
      <w:tr>
        <w:tc>
          <w:tcPr>
            <w:tcW w:type="dxa" w:w="3408"/>
          </w:tcPr>
          <w:p>
            <w:r>
              <w:t>非受控执行</w:t>
            </w:r>
          </w:p>
        </w:tc>
        <w:tc>
          <w:tcPr>
            <w:tcW w:type="dxa" w:w="3408"/>
          </w:tcPr>
          <w:p>
            <w:r>
              <w:t>ToolExecutor + SandboxGuard；网络、超时、体积、白名单检查</w:t>
            </w:r>
          </w:p>
        </w:tc>
        <w:tc>
          <w:tcPr>
            <w:tcW w:type="dxa" w:w="3408"/>
          </w:tcPr>
          <w:p>
            <w:r>
              <w:t>test_sandbox</w:t>
            </w:r>
          </w:p>
        </w:tc>
      </w:tr>
      <w:tr>
        <w:tc>
          <w:tcPr>
            <w:tcW w:type="dxa" w:w="3408"/>
          </w:tcPr>
          <w:p>
            <w:r>
              <w:t>补偿旁路</w:t>
            </w:r>
          </w:p>
        </w:tc>
        <w:tc>
          <w:tcPr>
            <w:tcW w:type="dxa" w:w="3408"/>
          </w:tcPr>
          <w:p>
            <w:r>
              <w:t>反向工具重走授权、风险、执行器与审计；不可逆明确拒绝</w:t>
            </w:r>
          </w:p>
        </w:tc>
        <w:tc>
          <w:tcPr>
            <w:tcW w:type="dxa" w:w="3408"/>
          </w:tcPr>
          <w:p>
            <w:r>
              <w:t>test_compensation、test_security_regressions</w:t>
            </w:r>
          </w:p>
        </w:tc>
      </w:tr>
      <w:tr>
        <w:tc>
          <w:tcPr>
            <w:tcW w:type="dxa" w:w="3408"/>
          </w:tcPr>
          <w:p>
            <w:r>
              <w:t>日志失真</w:t>
            </w:r>
          </w:p>
        </w:tc>
        <w:tc>
          <w:tcPr>
            <w:tcW w:type="dxa" w:w="3408"/>
          </w:tcPr>
          <w:p>
            <w:r>
              <w:t>SHA-256 链及 source / verified / verification_kind 证据分层</w:t>
            </w:r>
          </w:p>
        </w:tc>
        <w:tc>
          <w:tcPr>
            <w:tcW w:type="dxa" w:w="3408"/>
          </w:tcPr>
          <w:p>
            <w:r>
              <w:t>test_trust、六场景脚本、/api/audit/verify</w:t>
            </w:r>
          </w:p>
        </w:tc>
      </w:tr>
    </w:tbl>
    <w:p>
      <w:r>
        <w:t>逐项验证入口与当前实跑结果见《测试与复现》。测试文件名仅用于定位，不构成独立人工安全评审或第三方渗透结论。</w:t>
      </w:r>
    </w:p>
    <w:p>
      <w:pPr>
        <w:pStyle w:val="Heading1"/>
      </w:pPr>
      <w:r>
        <w:t>3. 已知风险与生产化待办</w:t>
      </w:r>
    </w:p>
    <w:p>
      <w:r>
        <w:t>1. 全部资金、账户和交易为 Mock Bank Core，不对接真实银行。</w:t>
      </w:r>
    </w:p>
    <w:p>
      <w:r>
        <w:t>2. 无生产身份认证；客户端自报用户与角色只能用于本地演示，不形成真实身份隔离保证。</w:t>
      </w:r>
    </w:p>
    <w:p>
      <w:r>
        <w:t>3. OTP 246810、模拟生物识别 token FACE-888888 为固定演示值，不是真实 MFA。</w:t>
      </w:r>
    </w:p>
    <w:p>
      <w:r>
        <w:t>4. 沙箱在进程内运行；线程超时无法强杀线程，不是容器、命名空间或 OS 资源隔离。</w:t>
      </w:r>
    </w:p>
    <w:p>
      <w:r>
        <w:t>5. IM / CLI / webhook 是适配协议，没有真实平台签名、租户和账号绑定。</w:t>
      </w:r>
    </w:p>
    <w:p>
      <w:r>
        <w:t>6. SQLite 和本地哈希链不提供分布式一致性、高可用、WORM 或独立存证；有写库权限的人可能重算链。</w:t>
      </w:r>
    </w:p>
    <w:p>
      <w:r>
        <w:t>7. 幂等键、已用 nonce 等仍需生产级过期 / 归档；有界草稿 TTL 与终态清理不代表全部表已解决增长问题。</w:t>
      </w:r>
    </w:p>
    <w:p>
      <w:r>
        <w:t>8. 不支持任意自然语言、通用跨轮记忆或自由条件组合；离线评测不等同真实模型效果。</w:t>
      </w:r>
    </w:p>
    <w:p>
      <w:r>
        <w:t>9. 自动测试和浏览器检查仅覆盖已知用例；独立人工手机 / 键盘 / 读屏验收、专业渗透与生产安全评审仍未完成。</w:t>
      </w:r>
    </w:p>
    <w:p>
      <w:pPr>
        <w:pStyle w:val="Heading1"/>
      </w:pPr>
      <w:r>
        <w:t>4. 运行和数据边界</w:t>
      </w:r>
    </w:p>
    <w:p>
      <w:r>
        <w:t>仅用虚构演示用户与独立模拟数据库。凭据置于本机忽略的配置文件，不进入源码、归档或材料。重置只针对明确指定的独立演示库，先停止服务，保留需要核对的审计证据。公开展示须说明模拟边界。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模拟银行原型 · 所有金融数据均为模拟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AegisBank  |  参赛材料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icrosoft YaHei" w:hAnsi="Microsoft YaHei" w:eastAsia="Microsoft YaHei"/>
      <w:color w:val="10283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8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8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83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0283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