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AegisBank 银行 AI 智能体安全自评报告</w:t>
      </w:r>
    </w:p>
    <w:p>
      <w:r>
        <w:t>2026 深圳国际金融科技大赛  人工智能赛道</w:t>
      </w:r>
    </w:p>
    <w:p>
      <w:r>
        <w:t>队伍 0xChainAegis    版本日期 2026年10月25日</w:t>
      </w:r>
    </w:p>
    <w:p>
      <w:r>
        <w:t>本报告说明 AegisBank 如何限制操作权限、绑定人工确认、记录审计与处理异常，并列明演示原型的已知风险。评估对象是本地 Mock Bank Core 原型，结论不是生产安全认证、合规审计或渗透测试证明。</w:t>
      </w:r>
    </w:p>
    <w:p>
      <w:pPr>
        <w:pStyle w:val="Heading1"/>
      </w:pPr>
      <w:r>
        <w:t>1 评估范围与威胁边界</w:t>
      </w:r>
    </w:p>
    <w:p>
      <w:r>
        <w:t>系统分离语言理解与金融授权：Planner 只提出计划，确定性编译器、风险引擎、网关与执行器控制执行。账户、交易、卡片、订阅和理财事实来自 SQLite，没有真实银行、支付网络、真实客户或商户订单接入。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528"/>
        <w:gridCol w:w="4752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主要威胁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当前控制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指令和模型候选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注入 越权 幻觉 条件遗漏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注入检查 候选白名单 Schema 与澄清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计划和确认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确认后改参 过期 重放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plan_hash Envelope nonce 有效期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工具和资金状态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越权 重复扣款 部分失败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统一网关 幂等 补偿与对账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审计和恢复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日志缺失 篡改 错误重试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journal SHA-256 链 UNKNOWN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服务与资源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依赖故障 可疑操作 工具失控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readiness 熔断 进程内沙箱</w:t>
            </w:r>
          </w:p>
        </w:tc>
      </w:tr>
    </w:tbl>
    <w:p>
      <w:pPr>
        <w:spacing w:after="60" w:line="60" w:lineRule="exact" w:before="0"/>
      </w:pPr>
    </w:p>
    <w:p>
      <w:r>
        <w:t>信任边界位于用户渠道、Planner 输出、授权执行和持久化事实之间。前端展示和本地存储不是授权来源，修改浏览器状态不能替代后端校验。角色由演示请求头自报，因此当前能力校验只能展示策略流程，不能证明真实调用者身份。</w:t>
      </w:r>
    </w:p>
    <w:p>
      <w:r>
        <w:t>自评依据为当前代码、已有测试和本轮验证记录。没有开展完整外部渗透测试或生产环境验证。所有“已实现”均限定于本地原型；测试通过只代表对应条件下可复现。</w:t>
      </w:r>
    </w:p>
    <w:p>
      <w:r>
        <w:rPr>
          <w:sz w:val="18"/>
        </w:rPr>
        <w:t>代码依据  main.py；gateway.py；executor.py；planning/；trust/；banking/repository.py。代码路径相对 backend/aegisbank_api/，前端另注。</w:t>
      </w:r>
    </w:p>
    <w:p>
      <w:pPr>
        <w:pStyle w:val="Heading1"/>
        <w:pageBreakBefore/>
      </w:pPr>
      <w:r>
        <w:t>2 权限分级的实现</w:t>
      </w:r>
    </w:p>
    <w:p>
      <w:pPr>
        <w:pStyle w:val="Heading2"/>
      </w:pPr>
      <w:r>
        <w:t>2 1 后端角色能力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user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auditor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tool:execute 银行业务工具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拒绝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拒绝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permission:manage 工具授权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拒绝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audit:read 读取审计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ops:manage 运维和熔断解除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拒绝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拒绝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trust:inspect 信任核查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允许</w:t>
            </w:r>
          </w:p>
        </w:tc>
      </w:tr>
    </w:tbl>
    <w:p>
      <w:pPr>
        <w:spacing w:after="60" w:line="60" w:lineRule="exact" w:before="0"/>
      </w:pPr>
    </w:p>
    <w:p>
      <w:r>
        <w:t>AuthzService 是矩阵唯一来源。网关检查角色能力与工具最小权限；operator 可以运维和权限管理，但不能代替用户发起银行操作。前端从 /authz/me 取得能力，仅做入口禁用与说明；策略加载失败关闭写入口。</w:t>
      </w:r>
    </w:p>
    <w:p>
      <w:pPr>
        <w:pStyle w:val="Heading2"/>
      </w:pPr>
      <w:r>
        <w:t>2 2 风险和确认强度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952"/>
        <w:gridCol w:w="597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执行策略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绿色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满足权限后自动执行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余额 账单 产品 订阅等只读查询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黄色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明确确认操作对象和参数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小额转账且预计日累计≤1000元 取消订阅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红色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确认加演示 MFA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预计日累计&gt;1000元 挂失 改密码 理财申购</w:t>
            </w:r>
          </w:p>
        </w:tc>
      </w:tr>
    </w:tbl>
    <w:p>
      <w:pPr>
        <w:spacing w:after="60" w:line="60" w:lineRule="exact" w:before="0"/>
      </w:pPr>
    </w:p>
    <w:p>
      <w:r>
        <w:t>DynamicRiskEngine 只保持或上调工具基线风险。单笔转账超过 5000 元同样触发红色；其他操作按各自规则。确认执行前复检事实，等待期间的累计金额、参数、权限或风险改变不能沿用旧授权。</w:t>
      </w:r>
    </w:p>
    <w:p>
      <w:r>
        <w:t>演示 OTP 为 246810，模拟生物识别 token 为 FACE-888888，均为固定演示值，不连接真实短信、人脸识别或设备身份。验证成功只能说明演示链路工作，不能证明生产核身能力。</w:t>
      </w:r>
    </w:p>
    <w:p>
      <w:r>
        <w:rPr>
          <w:sz w:val="18"/>
        </w:rPr>
        <w:t>代码依据  trust/authz.py；risk.py；gateway.py；trust/mfa.py；extensions/mfa.py；frontend/src/roles.ts。</w:t>
      </w:r>
    </w:p>
    <w:p>
      <w:pPr>
        <w:pStyle w:val="Heading1"/>
        <w:pageBreakBefore/>
      </w:pPr>
      <w:r>
        <w:t>3 确认完整性与防重复执行</w:t>
      </w:r>
    </w:p>
    <w:p>
      <w:pPr>
        <w:pStyle w:val="Heading2"/>
      </w:pPr>
      <w:r>
        <w:t>3 1 ActionEnvelope 绑定</w:t>
      </w:r>
    </w:p>
    <w:p>
      <w:r>
        <w:t>每个待确认步骤保存 user_id、plan_hash、step_id、tool_name、arguments_hash、risk_level、permission、nonce、签发时间和到期时间。服务端重新生成关键值并比对后才执行，默认确认有效期 300 秒。nonce 一次性消费，审批令牌不作为真实授权凭据对外暴露。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2304"/>
        <w:gridCol w:w="4032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关键事件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响应语义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下一步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计划 参数 风险 权限变化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409 拒绝旧确认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检查原因 重新发起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过期或 nonce 重放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409 拒绝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生成新有效计划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MFA 错误或能力不足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403 拒绝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核对验证方式和权限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服务未就绪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503 关闭写入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恢复依赖后再试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原请求仍在处理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409 处理中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保留原请求 查询结果</w:t>
            </w:r>
          </w:p>
        </w:tc>
      </w:tr>
    </w:tbl>
    <w:p>
      <w:pPr>
        <w:spacing w:after="60" w:line="60" w:lineRule="exact" w:before="0"/>
      </w:pPr>
    </w:p>
    <w:p>
      <w:pPr>
        <w:pStyle w:val="Heading2"/>
      </w:pPr>
      <w:r>
        <w:t>3 2 幂等与结果未知</w:t>
      </w:r>
    </w:p>
    <w:p>
      <w:r>
        <w:t>发起和确认使用 Idempotency-Key，同一逻辑提交复用原键，内容变化不能沿用。IM message_id 对重复投递回放原回执。断线保留原请求内容和键，先查询结果；不能因连接失败认定未执行，也不能自动用新键重试写操作。</w:t>
      </w:r>
    </w:p>
    <w:p>
      <w:r>
        <w:t>前端恢复快照仅定位任务，继续处理前向服务端核对计划和风险。非 JSON HTTP 错误保留状态，避免明确拒绝被误解为网络结果未知。失败回执要求核对步骤和账户，不推断余额保持不变。</w:t>
      </w:r>
    </w:p>
    <w:p>
      <w:pPr>
        <w:pStyle w:val="Heading2"/>
      </w:pPr>
      <w:r>
        <w:t>3 3 对语义不确定性的控制</w:t>
      </w:r>
    </w:p>
    <w:p>
      <w:r>
        <w:t>金额规范化覆盖已支持的千分位和中文金额；不支持的格式、条件和组合转澄清。限定表达与预置组合不等于通用语义理解。编译与人工确认不能单独证明完整保留用户意图，用户仍需检查对象、金额和步骤。</w:t>
      </w:r>
    </w:p>
    <w:p>
      <w:r>
        <w:rPr>
          <w:sz w:val="18"/>
        </w:rPr>
        <w:t>代码依据  trust/action_envelope.py；trust/idempotency.py；trust/clarification.py；scheduler.py；planning/llm.py；frontend/src/api.ts；session.ts。</w:t>
      </w:r>
    </w:p>
    <w:p>
      <w:pPr>
        <w:pStyle w:val="Heading1"/>
        <w:pageBreakBefore/>
      </w:pPr>
      <w:r>
        <w:t>4 执行防护与故障恢复</w:t>
      </w:r>
    </w:p>
    <w:p>
      <w:pPr>
        <w:pStyle w:val="Heading2"/>
      </w:pPr>
      <w:r>
        <w:t>4 1 受控入口与 readiness</w:t>
      </w:r>
    </w:p>
    <w:p>
      <w:r>
        <w:t>所有工具经 gateway.py 与 ToolExecutor，不直接调用工具体。readiness 检查 SQLite、审计链、种子和 Planner，未就绪写接口返回 503，前端关闭写入口。界面禁用只改善体验，后端必须独立拒绝。</w:t>
      </w:r>
    </w:p>
    <w:p>
      <w:pPr>
        <w:pStyle w:val="Heading2"/>
      </w:pPr>
      <w:r>
        <w:t>4 2 注入熔断与沙箱</w:t>
      </w:r>
    </w:p>
    <w:p>
      <w:r>
        <w:t>注入命中整条请求拒绝，不能留下部分节点继续执行。连续失败、短时多次红色任务和累计注入命中共用熔断状态，打开时拒绝写操作；恢复由冷却或具备 ops:manage 的操作员审计解锁。当前是系统级计数，没有按租户和用户隔离。</w:t>
      </w:r>
    </w:p>
    <w:p>
      <w:r>
        <w:t>进程内 ExecutionGuard 提供工具白名单、参数和输出体积、网络与墙钟超时约束。默认输入上限 8192 字节、输出上限 64000 字节、超时 5 秒，可配置。违规先审计后拒绝。Python 线程不能强杀，底层扩展或子进程可能绕过 socket 拦截，不能宣称 OS 级隔离。</w:t>
      </w:r>
    </w:p>
    <w:p>
      <w:pPr>
        <w:pStyle w:val="Heading2"/>
      </w:pPr>
      <w:r>
        <w:t>4 3 证据与哈希链</w:t>
      </w:r>
    </w:p>
    <w:p>
      <w:r>
        <w:t>审计记录时间、指令、DAG 路径、参数、结果、确认、风险和分层证据。规范 JSON 与前一条哈希共同计算 SHA-256；/api/audit/verify 重算链并返回 valid 与 checked。链校验只验证当前存储的一致性；没有外部可信锚点，不能宣称抵御管理员整链重写。</w:t>
      </w:r>
    </w:p>
    <w:p>
      <w:pPr>
        <w:pStyle w:val="Heading2"/>
      </w:pPr>
      <w:r>
        <w:t>4 4 暂停补偿和人工对账</w:t>
      </w:r>
    </w:p>
    <w:p>
      <w:r>
        <w:t>暂停在节点之间生效，不能强制中止正在运行的工具。回退按 journal 逆序调用登记补偿，仍需权限与风险复检。不可逆步骤或补偿失败转 UNKNOWN，禁止自动重复执行。RECONCILED 是核查结论记录，ROLLED_BACK 是补偿链完成，两者都要结合步骤和业务事实核对。</w:t>
      </w:r>
    </w:p>
    <w:p>
      <w:r>
        <w:rPr>
          <w:sz w:val="18"/>
        </w:rPr>
        <w:t>代码依据  trust/readiness.py；trust/circuit_breaker.py；trust/sandbox.py；audit.py；trust/pause.py；scheduler.py；extensions/compensation.py。</w:t>
      </w:r>
    </w:p>
    <w:p>
      <w:pPr>
        <w:pStyle w:val="Heading1"/>
        <w:pageBreakBefore/>
      </w:pPr>
      <w:r>
        <w:t>5 已知风险与后续措施</w:t>
      </w:r>
    </w:p>
    <w:p>
      <w:r>
        <w:t>等级按真实客户和资金接入前的影响判断。P0 为生产前必须解决，P1 需要独立控制与验证，P2 为治理或可用性完善项。已有缓解仅适用于本地演示。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744"/>
        <w:gridCol w:w="3888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风险和等级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当前情况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上线前措施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身份缺失 P0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自报角色 固定 demo-user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真实认证 会话和租户隔离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固定 MFA P0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固定 OTP 模拟 token 无真实核身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一次性挑战 真实 MFA 失败锁定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隔离不足 P1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进程内守卫 线程不可强杀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容器 资源与文件隔离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语义覆盖有限 P1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条件组合保守澄清 缺通用上下文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语义契约 来源检查 独立评测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SQLite 单机 P1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事务和 readiness 无高可用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高可用数据库 备份恢复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系统级熔断 P1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计数共享 可能影响其他操作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按用户租户隔离和限流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IM 未绑定 P1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无平台签名 无真实用户映射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签名校验 OAuth 用户绑定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审计无外部锚 P1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本地链只验内部一致性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独立权限 WORM 外部锚点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记录增长 P2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幂等和 nonce 缺 TTL 清理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过期归档 容量监控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补偿有限 P2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仅登记工具可回退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补偿规格 对账手册 失败演练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浏览器覆盖 P2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单元测试不能代表全部体验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网络时序 无障碍 多浏览器回归</w:t>
            </w:r>
          </w:p>
        </w:tc>
      </w:tr>
    </w:tbl>
    <w:p>
      <w:pPr>
        <w:spacing w:after="60" w:line="60" w:lineRule="exact" w:before="0"/>
      </w:pPr>
    </w:p>
    <w:p>
      <w:r>
        <w:t>生产网络还需 HTTPS、网关限流、安全响应头、密钥管理、依赖扫描和监控告警。默认本机部署不能直接用作公开银行服务。真实接口接入前应由业务、风控、安全和合规人员共同审查。</w:t>
      </w:r>
    </w:p>
    <w:p>
      <w:r>
        <w:rPr>
          <w:sz w:val="18"/>
        </w:rPr>
        <w:t>代码依据  config.py；trust/；channels/im.py；docs/SECURITY.md；docs/ROADMAP.md；deliverables/05-安全自评报告.md。</w:t>
      </w:r>
    </w:p>
    <w:p>
      <w:pPr>
        <w:pStyle w:val="Heading1"/>
        <w:pageBreakBefore/>
      </w:pPr>
      <w:r>
        <w:t>6 验收方法与自评结论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248"/>
        <w:gridCol w:w="388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测试或入口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必须观察到的结果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角色和撤权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test_authz.py 和安全回归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无能力或撤权后不执行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确认绑定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test_trust.py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改参 过期 重放拒绝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MFA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test_mfa.py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错误验证留痕 不执行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语义和注入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test_planner.py test_nlp_safety.py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拒绝或澄清 无遗漏条件写计划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熔断沙箱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test_breaker.py test_sandbox.py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打开后拒绝 违规有审计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补偿和未知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test_compensation.py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不可逆或失败转人工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请求与界面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frontend/src/*.test.* 浏览器检查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拒绝 未知 成功分别呈现</w:t>
            </w:r>
          </w:p>
        </w:tc>
      </w:tr>
    </w:tbl>
    <w:p>
      <w:pPr>
        <w:spacing w:after="60" w:line="60" w:lineRule="exact" w:before="0"/>
      </w:pPr>
    </w:p>
    <w:p>
      <w:pPr>
        <w:pStyle w:val="Heading2"/>
      </w:pPr>
      <w:r>
        <w:t>6 1 复跑与演示前检查</w:t>
      </w:r>
    </w:p>
    <w:p>
      <w:r>
        <w:t>backend 执行 uv run pytest；frontend 执行 pnpm test 和 pnpm build；六场景可运行 scripts/scenario-check.py；审计使用 GET /api/audit/verify。测试临时库与演示库隔离。当前实际结果见随附本轮验收记录，历史测试数字不作为当前结论。</w:t>
      </w:r>
    </w:p>
    <w:p>
      <w:r>
        <w:t>演示前确认 ready、当前角色和工具授权，使用新模拟库依次展示绿色、黄色与红色。错误 MFA 和用户拒绝必须不执行。保留任务标识核对审计；出现 UNKNOWN 时停止重复提交并人工核查；熔断通过运维入口处理，不删除日志或改库绕过。</w:t>
      </w:r>
    </w:p>
    <w:p>
      <w:pPr>
        <w:pStyle w:val="Heading2"/>
      </w:pPr>
      <w:r>
        <w:t>6 2 自评结论</w:t>
      </w:r>
    </w:p>
    <w:p>
      <w:r>
        <w:t>原型已建立从意图到受控执行的权限分级、确认绑定、幂等、审计与异常恢复链路，适合本地模拟场景展示。真实身份、生产 MFA、OS 沙箱、高可用和独立审计存储尚未完成，不得把演示能力表述为生产安全能力。</w:t>
      </w:r>
    </w:p>
    <w:p>
      <w:r>
        <w:t>新增工具、修改规则或接入真实系统时，应复审授权、参数来源、不可逆性、幂等与审计。自动化通过不能替代真实环境的独立验证。</w:t>
      </w:r>
    </w:p>
    <w:p>
      <w:r>
        <w:rPr>
          <w:sz w:val="18"/>
        </w:rPr>
        <w:t>代码依据  backend/tests/；frontend/src/*.test.*；scripts/scenario-check.py；docs/SECURITY.md。</w:t>
      </w:r>
    </w:p>
    <w:sectPr w:rsidR="00FC693F" w:rsidRPr="0006063C" w:rsidSect="00034616">
      <w:footerReference w:type="default" r:id="rId9"/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AegisBank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AegisBank 银行 AI 智能体安全自评报告</dc:title>
  <dc:subject>2026 深圳国际金融科技大赛 银行 AI 智能体</dc:subject>
  <dc:creator>0xChainAegis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