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Model Comparison Report</w:t>
      </w:r>
    </w:p>
    <w:p>
      <w:pPr>
        <w:spacing w:after="320"/>
      </w:pPr>
      <w:r>
        <w:rPr>
          <w:i/>
          <w:iCs/>
          <w:color w:val="555555"/>
          <w:sz w:val="24"/>
          <w:szCs w:val="24"/>
        </w:rPr>
        <w:t xml:space="preserve">Classical vs. Deep Learning Approaches to Botswana Food Inflation Forecasting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1. Classical Model: SARIMAX</w:t>
      </w:r>
    </w:p>
    <w:p>
      <w:pPr>
        <w:pStyle w:val="Heading2"/>
        <w:spacing w:after="120" w:before="280"/>
      </w:pPr>
      <w:r>
        <w:t xml:space="preserve">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Seasonal ARIMA with exogenous variables (SARIMAX)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Order: (1, 1,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Seasonal order: (1, 0, 1, 12), capturing the 12-month food-price 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Implementation: statsmodels.tsa.statespace.sarimax</w:t>
      </w:r>
    </w:p>
    <w:p>
      <w:pPr>
        <w:pStyle w:val="Heading2"/>
        <w:spacing w:after="120" w:before="280"/>
      </w:pPr>
      <w:r>
        <w:t xml:space="preserve">Hyperparameters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= (1, 1, 1) — non-seasonal AR, I, and MA terms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seasonal_order = (1, 0, 1, 12) — seasonal AR and MA with a 12-month period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enforce_stationarity = False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enforce_invertibility = False</w:t>
      </w:r>
    </w:p>
    <w:p>
      <w:pPr>
        <w:pStyle w:val="Heading2"/>
        <w:spacing w:after="120" w:before="280"/>
      </w:pPr>
      <w:r>
        <w:t xml:space="preserve">Exogenous Features (11 total)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BDI_volatility, BDI_momentum_3m, BDI_yoy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Brent_yoy, Brent_momentum_3m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policy_rate, policy_rate_diff12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HCP_ZAF_food_inf_lag1, lag2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HCP_NAM_food_inf_lag1, lag2</w:t>
      </w:r>
    </w:p>
    <w:p>
      <w:pPr>
        <w:pStyle w:val="Heading2"/>
        <w:spacing w:after="120" w:before="280"/>
      </w:pPr>
      <w:r>
        <w:t xml:space="preserve">Training Procedure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Walk-forward validation; the time series is never shuffled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Train: 2000-01 to 2018-12 (228 months)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Validation: 2019-01 to 2020-12 (24 months)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Test: 2021-01 to 2023-12 (36 months)</w:t>
      </w:r>
    </w:p>
    <w:p>
      <w:pPr>
        <w:pStyle w:val="Heading1"/>
        <w:spacing w:after="160" w:before="360"/>
      </w:pPr>
      <w:r>
        <w:t xml:space="preserve">2. Deep Learning Model: LSTM</w:t>
      </w:r>
    </w:p>
    <w:p>
      <w:pPr>
        <w:pStyle w:val="Heading2"/>
        <w:spacing w:after="120" w:before="280"/>
      </w:pPr>
      <w:r>
        <w:t xml:space="preserve">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Two-layer LSTM (Long Short-Term Memory network)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Hidden units: 32 — kept small given only 288 observations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Dropout: 0.3 for heavy regularization on a small dataset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layer: linear (hidden →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Implementation: PyTorch</w:t>
      </w:r>
    </w:p>
    <w:p>
      <w:pPr>
        <w:pStyle w:val="Heading2"/>
        <w:spacing w:after="120" w:before="280"/>
      </w:pPr>
      <w:r>
        <w:t xml:space="preserve">Hyperparameters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SEQ_LEN = 24 (24-month lookback window)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HIDDEN = 32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DROPOUT = 0.3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EPOCHS = 300 (maximum)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PATIENCE = 25 (early stopping)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LR = 1e-3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= 16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weight_decay = 1e-4</w:t>
      </w:r>
    </w:p>
    <w:p>
      <w:pPr>
        <w:pStyle w:val="Heading2"/>
        <w:spacing w:after="120" w:before="280"/>
      </w:pPr>
      <w:r>
        <w:t xml:space="preserve">Transfer Learning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Pre-trained on a five-country HCP panel (~4,300 rows)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Fine-tuned on Botswana-only data (~288 rows)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pre-training panel provides roughly 15x more data for initial feature learning than the target series alone</w:t>
      </w:r>
    </w:p>
    <w:p>
      <w:pPr>
        <w:pStyle w:val="Heading2"/>
        <w:spacing w:after="120" w:before="280"/>
      </w:pPr>
      <w:r>
        <w:t xml:space="preserve">Training Procedure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Chronological split; no shuffling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train/validation/test windows as SARIMAX, for comparability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Early stopping on validation RMSE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 multi-output: all 12 forecast months are predicted in a single pass</w:t>
      </w:r>
    </w:p>
    <w:p>
      <w:pPr>
        <w:pStyle w:val="Heading1"/>
        <w:spacing w:after="160" w:before="360"/>
      </w:pPr>
      <w:r>
        <w:t xml:space="preserve">3. Performance Comparison (Out-of-Sample, 2021–2023)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2600"/>
      </w:tblGrid>
      <w:tr>
        <w:tc>
          <w:tcPr>
            <w:tcW w:type="dxa" w:w="3200"/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2200"/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RMSE</w:t>
            </w:r>
          </w:p>
        </w:tc>
        <w:tc>
          <w:tcPr>
            <w:tcW w:type="dxa" w:w="2200"/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MAE</w:t>
            </w:r>
          </w:p>
        </w:tc>
        <w:tc>
          <w:tcPr>
            <w:tcW w:type="dxa" w:w="2600"/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vs Seasonal-Naive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Classical SARIMAX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7.15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5.66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Beats (7.51)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Deep LSTM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8.21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6.79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Loses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Seasonal Naive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7.51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6.12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Baseline</w:t>
            </w:r>
          </w:p>
        </w:tc>
      </w:tr>
    </w:tbl>
    <w:p>
      <w:pPr>
        <w:spacing w:after="240"/>
      </w:pPr>
    </w:p>
    <w:p>
      <w:pPr>
        <w:pStyle w:val="Heading2"/>
        <w:spacing w:after="120" w:before="280"/>
      </w:pPr>
      <w:r>
        <w:t xml:space="preserve">Key Findings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SARIMAX outperforms the seasonal-naive baseline by 4.8% on RMSE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LSTM does not beat seasonal-naive — consistent with expectations on a dataset this small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SARIMAX outperforms the LSTM by 12.9% on RMSE</w:t>
      </w:r>
    </w:p>
    <w:p>
      <w:pPr>
        <w:pStyle w:val="Heading2"/>
        <w:spacing w:after="120" w:before="280"/>
      </w:pPr>
      <w:r>
        <w:t xml:space="preserve">Why SARIMAX Performs Better Here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Sample size: ~288 monthly observations is limited for a deep learning model to generalize from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Seasonality: SARIMAX's seasonal terms handle the 12-month cycle natively, without needing to learn it from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Interpretability: model coefficients indicate which drivers matter and by how much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Exogenous variables: engineered features are injected directly rather than learned implicitly</w:t>
      </w:r>
    </w:p>
    <w:p>
      <w:pPr>
        <w:pStyle w:val="Heading2"/>
        <w:spacing w:after="120" w:before="280"/>
      </w:pPr>
      <w:r>
        <w:t xml:space="preserve">Why the LSTM Underperforms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Limited data: 288 points is small relative to what deep sequence models typically need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Overfitting: despite dropout and weight decay, the model still overfits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capacity: the LSTM has more parameters than the dataset can reliably support</w:t>
      </w:r>
    </w:p>
    <w:p>
      <w:pPr>
        <w:pStyle w:val="Heading1"/>
        <w:spacing w:after="160" w:before="360"/>
      </w:pPr>
      <w:r>
        <w:t xml:space="preserve">4. Residual Diagnostics</w:t>
      </w:r>
    </w:p>
    <w:p>
      <w:pPr>
        <w:pStyle w:val="Heading2"/>
        <w:spacing w:after="120" w:before="280"/>
      </w:pPr>
      <w:r>
        <w:t xml:space="preserve">SARIMAX Residuals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Mean ≈ 0 (unbiased)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Std ≈ 5.5, consistent with test RMSE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Autocorrelation: minimal — ACF shows no significant lags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Distribution: approximately normal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Homoscedastic: variance is roughly constant over time</w:t>
      </w:r>
    </w:p>
    <w:p>
      <w:pPr>
        <w:pStyle w:val="Heading2"/>
        <w:spacing w:after="120" w:before="280"/>
      </w:pPr>
      <w:r>
        <w:t xml:space="preserve">LSTM Residuals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Mean ≈ 0.3 (slight positive bias)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Std ≈ 6.2, higher variance than SARIMAX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Autocorrelation: some residual structure remains at lag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Distribution: slightly heavy-tailed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Heteroscedastic: variance increases with forecast horizon</w:t>
      </w:r>
    </w:p>
    <w:p>
      <w:pPr>
        <w:pStyle w:val="Heading2"/>
        <w:spacing w:after="120" w:before="280"/>
      </w:pPr>
      <w:r>
        <w:t xml:space="preserve">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SARIMAX residuals are closer to white noise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LSTM leaves some temporal structure unmodeled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models' residuals are centered near zero</w:t>
      </w:r>
    </w:p>
    <w:p>
      <w:pPr>
        <w:pStyle w:val="Heading1"/>
        <w:spacing w:after="160" w:before="360"/>
      </w:pPr>
      <w:r>
        <w:t xml:space="preserve">5. Conclusion</w:t>
      </w:r>
    </w:p>
    <w:p>
      <w:pPr>
        <w:spacing w:after="160"/>
      </w:pPr>
      <w:r>
        <w:t xml:space="preserve">SARIMAX is the recommended model. On the 2021–2023 out-of-sample test, it achieves lower RMSE and MAE than both the LSTM and the seasonal-naive baseline, and its residuals show less unmodeled structure.</w:t>
      </w:r>
    </w:p>
    <w:p>
      <w:pPr>
        <w:spacing w:after="160"/>
      </w:pPr>
      <w:r>
        <w:t xml:space="preserve">At this sample size (~288 monthly observations), the classical model's built-in handling of seasonality and its use of hand-engineered exogenous features give it a real advantage over a data-hungry architecture like an LSTM. The LSTM's failure to beat seasonal-naive is not a bug — it is the expected outcome when a deep model is asked to learn seasonal and cross-country structure from a series this short, and it's a useful data point in its own right.</w:t>
      </w:r>
    </w:p>
    <w:p>
      <w:pPr>
        <w:pStyle w:val="Heading2"/>
        <w:spacing w:after="120" w:before="280"/>
      </w:pPr>
      <w:r>
        <w:t xml:space="preserve">What Might Change This Conclusion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substantially longer history (5+ years of additional monthly data)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Stronger non-linear relationships in the underlying data-generating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Better transfer-learning strategies (e.g., different pre-training panel, feature alignment across countries)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ensemble combining SARIMAX and LSTM forecasts</w:t>
      </w:r>
    </w:p>
    <w:p>
      <w:pPr>
        <w:pStyle w:val="Heading2"/>
        <w:spacing w:after="120" w:before="280"/>
      </w:pPr>
      <w:r>
        <w:t xml:space="preserve">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datasets favor classical statistical methods over deep learning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 learning needs substantially more data to generalize well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engineering mattered more here than model complexity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Reporting the comparison honestly — including where the LSTM underperforms — is more useful than forcing a preferred model to win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2026-07-22T18:08:04.900Z</dcterms:created>
  <dcterms:modified xsi:type="dcterms:W3CDTF">2026-07-22T18:08:04.913Z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