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jc w:val="center"/>
      </w:pPr>
      <w:r>
        <w:rPr>
          <w:b/>
          <w:bCs/>
          <w:color w:val="6B7280"/>
          <w:sz w:val="24"/>
          <w:szCs w:val="24"/>
        </w:rPr>
        <w:t xml:space="preserve">REDBELLY NETWORK</w:t>
      </w:r>
    </w:p>
    <w:p>
      <w:pPr>
        <w:spacing w:after="200" w:before="300"/>
        <w:jc w:val="center"/>
      </w:pPr>
      <w:r>
        <w:rPr>
          <w:b/>
          <w:bCs/>
          <w:color w:val="1F2937"/>
          <w:sz w:val="56"/>
          <w:szCs w:val="56"/>
        </w:rPr>
        <w:t xml:space="preserve">Unstick Your RBNT</w:t>
      </w:r>
    </w:p>
    <w:p>
      <w:pPr>
        <w:spacing w:after="500"/>
        <w:jc w:val="center"/>
      </w:pPr>
      <w:r>
        <w:rPr>
          <w:b/>
          <w:bCs/>
          <w:color w:val="B23A2F"/>
          <w:sz w:val="32"/>
          <w:szCs w:val="32"/>
        </w:rPr>
        <w:t xml:space="preserve">A Cross Chain Recovery Playbook</w:t>
      </w:r>
    </w:p>
    <w:p>
      <w:pPr>
        <w:spacing w:after="100"/>
        <w:jc w:val="center"/>
      </w:pPr>
      <w:r>
        <w:rPr>
          <w:i/>
          <w:iCs/>
          <w:color w:val="6B7280"/>
          <w:sz w:val="22"/>
          <w:szCs w:val="22"/>
        </w:rPr>
        <w:t xml:space="preserve">Community support guide for wrong network sends, stuck bridges, and thin liquidity swaps</w:t>
      </w:r>
    </w:p>
    <w:p>
      <w:pPr>
        <w:spacing w:before="2200"/>
      </w:pPr>
    </w:p>
    <w:p>
      <w:pPr>
        <w:pBdr>
          <w:top w:val="single" w:color="6B7280" w:sz="6" w:space="10"/>
        </w:pBdr>
        <w:spacing w:before="200"/>
        <w:jc w:val="center"/>
      </w:pPr>
      <w:r>
        <w:rPr>
          <w:color w:val="6B7280"/>
          <w:sz w:val="18"/>
          <w:szCs w:val="18"/>
        </w:rPr>
        <w:t xml:space="preserve">Reflects live, independently verified data as of August 2026</w:t>
      </w:r>
    </w:p>
    <w:p>
      <w:pPr>
        <w:jc w:val="center"/>
      </w:pPr>
      <w:r>
        <w:rPr>
          <w:color w:val="6B7280"/>
          <w:sz w:val="18"/>
          <w:szCs w:val="18"/>
        </w:rPr>
        <w:t xml:space="preserve">Liquidity, fees, and routing conditions change frequently. Confirm current quotes before acting on amounts that matter to you.</w:t>
      </w:r>
    </w:p>
    <w:p>
      <w:r>
        <w:br w:type="page"/>
      </w:r>
    </w:p>
    <w:p>
      <w:pPr>
        <w:pStyle w:val="Heading1"/>
      </w:pPr>
      <w:r>
        <w:rPr>
          <w:b/>
          <w:bCs/>
          <w:color w:val="1F2937"/>
        </w:rPr>
        <w:t xml:space="preserve">Contents</w:t>
      </w:r>
    </w:p>
    <w:p>
      <w:pPr>
        <w:spacing w:after="160"/>
      </w:pPr>
    </w:p>
    <w:p>
      <w:pPr>
        <w:tabs>
          <w:tab w:val="right" w:pos="9026" w:leader="dot"/>
        </w:tabs>
        <w:spacing w:after="140"/>
      </w:pPr>
      <w:r>
        <w:rPr>
          <w:sz w:val="24"/>
          <w:szCs w:val="24"/>
        </w:rPr>
        <w:t xml:space="preserve">Part 1. Before You Bridge	3</w:t>
      </w:r>
    </w:p>
    <w:p>
      <w:pPr>
        <w:tabs>
          <w:tab w:val="right" w:pos="9026" w:leader="dot"/>
        </w:tabs>
        <w:spacing w:after="140"/>
      </w:pPr>
      <w:r>
        <w:rPr>
          <w:sz w:val="24"/>
          <w:szCs w:val="24"/>
        </w:rPr>
        <w:t xml:space="preserve">Part 2. Reference Tables	4</w:t>
      </w:r>
    </w:p>
    <w:p>
      <w:pPr>
        <w:tabs>
          <w:tab w:val="right" w:pos="9026" w:leader="dot"/>
        </w:tabs>
        <w:spacing w:after="140"/>
      </w:pPr>
      <w:r>
        <w:rPr>
          <w:sz w:val="24"/>
          <w:szCs w:val="24"/>
        </w:rPr>
        <w:t xml:space="preserve">Part 3. Failure Mode 1: Wrapped RBNT Zero Value or Swap Fail	7</w:t>
      </w:r>
    </w:p>
    <w:p>
      <w:pPr>
        <w:tabs>
          <w:tab w:val="right" w:pos="9026" w:leader="dot"/>
        </w:tabs>
        <w:spacing w:after="140"/>
      </w:pPr>
      <w:r>
        <w:rPr>
          <w:sz w:val="24"/>
          <w:szCs w:val="24"/>
        </w:rPr>
        <w:t xml:space="preserve">Part 4. Failure Mode 2: Quote Unavailable Bridging RBNT Back to Redbelly Network	9</w:t>
      </w:r>
    </w:p>
    <w:p>
      <w:pPr>
        <w:tabs>
          <w:tab w:val="right" w:pos="9026" w:leader="dot"/>
        </w:tabs>
        <w:spacing w:after="140"/>
      </w:pPr>
      <w:r>
        <w:rPr>
          <w:sz w:val="24"/>
          <w:szCs w:val="24"/>
        </w:rPr>
        <w:t xml:space="preserve">Part 5. Failure Mode 3: Stablecoins Stranded on Ethereum Mainnet	12</w:t>
      </w:r>
    </w:p>
    <w:p>
      <w:pPr>
        <w:tabs>
          <w:tab w:val="right" w:pos="9026" w:leader="dot"/>
        </w:tabs>
        <w:spacing w:after="140"/>
      </w:pPr>
      <w:r>
        <w:rPr>
          <w:sz w:val="24"/>
          <w:szCs w:val="24"/>
        </w:rPr>
        <w:t xml:space="preserve">Part 6. Failure Mode 4: Native RBNT Sent to a CEX Deposit Address by Mistake	14</w:t>
      </w:r>
    </w:p>
    <w:p>
      <w:pPr>
        <w:tabs>
          <w:tab w:val="right" w:pos="9026" w:leader="dot"/>
        </w:tabs>
        <w:spacing w:after="140"/>
      </w:pPr>
      <w:r>
        <w:rPr>
          <w:sz w:val="24"/>
          <w:szCs w:val="24"/>
        </w:rPr>
        <w:t xml:space="preserve">Sources	16</w:t>
      </w:r>
    </w:p>
    <w:p>
      <w:r>
        <w:br w:type="page"/>
      </w:r>
    </w:p>
    <w:p>
      <w:pPr>
        <w:pStyle w:val="Heading1"/>
        <w:spacing w:after="200" w:before="400"/>
      </w:pPr>
      <w:r>
        <w:rPr>
          <w:b/>
          <w:bCs/>
          <w:color w:val="1F2937"/>
        </w:rPr>
        <w:t xml:space="preserve">Part 1. Before You Bridge</w:t>
      </w:r>
    </w:p>
    <w:p>
      <w:pPr>
        <w:pBdr>
          <w:left w:val="single" w:color="B23A2F" w:sz="24" w:space="8"/>
        </w:pBdr>
        <w:shd w:fill="F3F1EA" w:val="clear"/>
        <w:spacing w:after="220" w:before="120"/>
        <w:ind w:left="200"/>
      </w:pPr>
      <w:r>
        <w:rPr>
          <w:b/>
          <w:bCs/>
          <w:sz w:val="22"/>
          <w:szCs w:val="22"/>
        </w:rPr>
        <w:t xml:space="preserve">Before you bridge anything: do not send RBNT directly to a centralized exchange deposit address unless the exchange explicitly supports the network you are sending on.</w:t>
      </w:r>
    </w:p>
    <w:p>
      <w:pPr>
        <w:spacing w:after="160"/>
      </w:pPr>
      <w:r>
        <w:rPr>
          <w:b w:val="false"/>
          <w:bCs w:val="false"/>
          <w:i w:val="false"/>
          <w:iCs w:val="false"/>
          <w:sz w:val="22"/>
          <w:szCs w:val="22"/>
        </w:rPr>
        <w:t xml:space="preserve">RBNT currently trades on four active exchanges: Gate, MEXC, WhiteBIT, and BYDFi.</w:t>
      </w:r>
    </w:p>
    <w:p>
      <w:pPr>
        <w:spacing w:after="160"/>
      </w:pPr>
      <w:r>
        <w:rPr>
          <w:b w:val="false"/>
          <w:bCs w:val="false"/>
          <w:i w:val="false"/>
          <w:iCs w:val="false"/>
          <w:sz w:val="22"/>
          <w:szCs w:val="22"/>
        </w:rPr>
        <w:t xml:space="preserve">Sending native RBNT or wrapped RBNT to the wrong network is the hardest of these four failure modes to reverse, and recovery odds are not the same across exchanges.</w:t>
      </w:r>
    </w:p>
    <w:p>
      <w:pPr>
        <w:pStyle w:val="ListParagraph"/>
        <w:numPr>
          <w:ilvl w:val="0"/>
          <w:numId w:val="2"/>
        </w:numPr>
        <w:spacing w:after="80"/>
      </w:pPr>
      <w:r>
        <w:rPr>
          <w:sz w:val="22"/>
          <w:szCs w:val="22"/>
        </w:rPr>
        <w:t xml:space="preserve">Gate and MEXC both have a self service recovery form for wrong network deposits. Neither guarantees success, and MEXC charges a processing fee regardless of outcome.</w:t>
      </w:r>
    </w:p>
    <w:p>
      <w:pPr>
        <w:pStyle w:val="ListParagraph"/>
        <w:numPr>
          <w:ilvl w:val="0"/>
          <w:numId w:val="2"/>
        </w:numPr>
        <w:spacing w:after="80"/>
      </w:pPr>
      <w:r>
        <w:rPr>
          <w:sz w:val="22"/>
          <w:szCs w:val="22"/>
        </w:rPr>
        <w:t xml:space="preserve">BYDFi handles this through support rather than a self service form, using your transaction hash and account ID. No fee is stated in their own documentation, but recovery is still not guaranteed.</w:t>
      </w:r>
    </w:p>
    <w:p>
      <w:pPr>
        <w:pStyle w:val="ListParagraph"/>
        <w:numPr>
          <w:ilvl w:val="0"/>
          <w:numId w:val="2"/>
        </w:numPr>
        <w:spacing w:after="80"/>
      </w:pPr>
      <w:r>
        <w:rPr>
          <w:sz w:val="22"/>
          <w:szCs w:val="22"/>
        </w:rPr>
        <w:t xml:space="preserve">WhiteBIT has the weakest documented process of the four. Their own help center states a wrong network deposit may result in irreversible loss, and there is no dedicated recovery form, only a general support ticket. Treat a WhiteBIT wrong network deposit as lower odds than the other three.</w:t>
      </w:r>
    </w:p>
    <w:p>
      <w:pPr>
        <w:pStyle w:val="Heading3"/>
        <w:spacing w:after="100" w:before="200"/>
      </w:pPr>
      <w:r>
        <w:rPr>
          <w:b/>
          <w:bCs/>
        </w:rPr>
        <w:t xml:space="preserve">Correct deposit procedure</w:t>
      </w:r>
    </w:p>
    <w:p>
      <w:pPr>
        <w:pStyle w:val="ListParagraph"/>
        <w:numPr>
          <w:ilvl w:val="0"/>
          <w:numId w:val="3"/>
        </w:numPr>
        <w:spacing w:after="80"/>
      </w:pPr>
      <w:r>
        <w:rPr>
          <w:sz w:val="22"/>
          <w:szCs w:val="22"/>
        </w:rPr>
        <w:t xml:space="preserve">Confirm the exchange lists RBNT as a supported deposit asset before sending anything.</w:t>
      </w:r>
    </w:p>
    <w:p>
      <w:pPr>
        <w:pStyle w:val="ListParagraph"/>
        <w:numPr>
          <w:ilvl w:val="0"/>
          <w:numId w:val="3"/>
        </w:numPr>
        <w:spacing w:after="80"/>
      </w:pPr>
      <w:r>
        <w:rPr>
          <w:sz w:val="22"/>
          <w:szCs w:val="22"/>
        </w:rPr>
        <w:t xml:space="preserve">Confirm which network the exchange expects the deposit on. An exchange listing RBNT does not mean it accepts every wrapped version of RBNT on every chain.</w:t>
      </w:r>
    </w:p>
    <w:p>
      <w:pPr>
        <w:pStyle w:val="ListParagraph"/>
        <w:numPr>
          <w:ilvl w:val="0"/>
          <w:numId w:val="3"/>
        </w:numPr>
        <w:spacing w:after="80"/>
      </w:pPr>
      <w:r>
        <w:rPr>
          <w:sz w:val="22"/>
          <w:szCs w:val="22"/>
        </w:rPr>
        <w:t xml:space="preserve">Send a small test amount first if the exchange and network combination is new to you.</w:t>
      </w:r>
    </w:p>
    <w:p>
      <w:pPr>
        <w:pStyle w:val="ListParagraph"/>
        <w:numPr>
          <w:ilvl w:val="0"/>
          <w:numId w:val="3"/>
        </w:numPr>
        <w:spacing w:after="80"/>
      </w:pPr>
      <w:r>
        <w:rPr>
          <w:sz w:val="22"/>
          <w:szCs w:val="22"/>
        </w:rPr>
        <w:t xml:space="preserve">Keep the transaction hash, the deposit address used, and a timestamp for every deposit you make. You will need this evidence if something goes wrong.</w:t>
      </w:r>
    </w:p>
    <w:p>
      <w:pPr>
        <w:spacing w:after="160"/>
      </w:pPr>
      <w:r>
        <w:rPr>
          <w:b w:val="false"/>
          <w:bCs w:val="false"/>
          <w:i/>
          <w:iCs/>
          <w:sz w:val="22"/>
          <w:szCs w:val="22"/>
        </w:rPr>
        <w:t xml:space="preserve">If you have already sent funds to the wrong address or the wrong network, skip to Part 6. Do not resend funds to fix the mistake, and do not click any claim link sent to you in Discord or a direct message claiming to help recover the funds.</w:t>
      </w:r>
    </w:p>
    <w:p>
      <w:r>
        <w:br w:type="page"/>
      </w:r>
    </w:p>
    <w:p>
      <w:pPr>
        <w:pStyle w:val="Heading1"/>
        <w:spacing w:after="200" w:before="400"/>
      </w:pPr>
      <w:r>
        <w:rPr>
          <w:b/>
          <w:bCs/>
          <w:color w:val="1F2937"/>
        </w:rPr>
        <w:t xml:space="preserve">Part 2. Reference Tables</w:t>
      </w:r>
    </w:p>
    <w:p>
      <w:pPr>
        <w:pStyle w:val="Heading2"/>
        <w:spacing w:after="150" w:before="300"/>
      </w:pPr>
      <w:r>
        <w:rPr>
          <w:b/>
          <w:bCs/>
          <w:color w:val="B23A2F"/>
        </w:rPr>
        <w:t xml:space="preserve">Wrapped RBNT Contract Addresses</w:t>
      </w:r>
    </w:p>
    <w:p>
      <w:pPr>
        <w:spacing w:after="160"/>
      </w:pPr>
      <w:r>
        <w:rPr>
          <w:b w:val="false"/>
          <w:bCs w:val="false"/>
          <w:i w:val="false"/>
          <w:iCs w:val="false"/>
          <w:sz w:val="22"/>
          <w:szCs w:val="22"/>
        </w:rPr>
        <w:t xml:space="preserve">Verified against Redbelly's own announcements. Only the addresses below have direct confirmation from Redbelly's own X account, developer docs, or blog. If a token calling itself RBNT or wRBNT appears anywhere else, do not trust it on name alone. Verify the contract address against this table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2400"/>
        <w:gridCol w:w="1760"/>
      </w:tblGrid>
      <w:tr>
        <w:trPr>
          <w:tblHeader/>
        </w:trPr>
        <w:tc>
          <w:tcPr>
            <w:tcW w:type="dxa" w:w="1600"/>
            <w:shd w:fill="1F2937" w:val="clear"/>
            <w:tcMar>
              <w:top w:type="dxa" w:w="100"/>
              <w:left w:type="dxa" w:w="120"/>
              <w:bottom w:type="dxa" w:w="100"/>
              <w:right w:type="dxa" w:w="120"/>
            </w:tcMar>
          </w:tcPr>
          <w:p>
            <w:r>
              <w:rPr>
                <w:rFonts w:ascii="Calibri" w:cs="Calibri" w:eastAsia="Calibri" w:hAnsi="Calibri"/>
                <w:b/>
                <w:bCs/>
                <w:color w:val="FFFFFF"/>
                <w:sz w:val="19"/>
                <w:szCs w:val="19"/>
              </w:rPr>
              <w:t xml:space="preserve">Chain</w:t>
            </w:r>
          </w:p>
        </w:tc>
        <w:tc>
          <w:tcPr>
            <w:tcW w:type="dxa" w:w="3600"/>
            <w:shd w:fill="1F2937" w:val="clear"/>
            <w:tcMar>
              <w:top w:type="dxa" w:w="100"/>
              <w:left w:type="dxa" w:w="120"/>
              <w:bottom w:type="dxa" w:w="100"/>
              <w:right w:type="dxa" w:w="120"/>
            </w:tcMar>
          </w:tcPr>
          <w:p>
            <w:r>
              <w:rPr>
                <w:rFonts w:ascii="Calibri" w:cs="Calibri" w:eastAsia="Calibri" w:hAnsi="Calibri"/>
                <w:b/>
                <w:bCs/>
                <w:color w:val="FFFFFF"/>
                <w:sz w:val="19"/>
                <w:szCs w:val="19"/>
              </w:rPr>
              <w:t xml:space="preserve">Contract Address</w:t>
            </w:r>
          </w:p>
        </w:tc>
        <w:tc>
          <w:tcPr>
            <w:tcW w:type="dxa" w:w="2400"/>
            <w:shd w:fill="1F2937" w:val="clear"/>
            <w:tcMar>
              <w:top w:type="dxa" w:w="100"/>
              <w:left w:type="dxa" w:w="120"/>
              <w:bottom w:type="dxa" w:w="100"/>
              <w:right w:type="dxa" w:w="120"/>
            </w:tcMar>
          </w:tcPr>
          <w:p>
            <w:r>
              <w:rPr>
                <w:rFonts w:ascii="Calibri" w:cs="Calibri" w:eastAsia="Calibri" w:hAnsi="Calibri"/>
                <w:b/>
                <w:bCs/>
                <w:color w:val="FFFFFF"/>
                <w:sz w:val="19"/>
                <w:szCs w:val="19"/>
              </w:rPr>
              <w:t xml:space="preserve">Confidence</w:t>
            </w:r>
          </w:p>
        </w:tc>
        <w:tc>
          <w:tcPr>
            <w:tcW w:type="dxa" w:w="1760"/>
            <w:shd w:fill="1F2937" w:val="clear"/>
            <w:tcMar>
              <w:top w:type="dxa" w:w="100"/>
              <w:left w:type="dxa" w:w="120"/>
              <w:bottom w:type="dxa" w:w="100"/>
              <w:right w:type="dxa" w:w="120"/>
            </w:tcMar>
          </w:tcPr>
          <w:p>
            <w:r>
              <w:rPr>
                <w:rFonts w:ascii="Calibri" w:cs="Calibri" w:eastAsia="Calibri" w:hAnsi="Calibri"/>
                <w:b/>
                <w:bCs/>
                <w:color w:val="FFFFFF"/>
                <w:sz w:val="19"/>
                <w:szCs w:val="19"/>
              </w:rPr>
              <w:t xml:space="preserve">Source</w:t>
            </w:r>
          </w:p>
        </w:tc>
      </w:tr>
      <w:tr>
        <w:tc>
          <w:tcPr>
            <w:tcW w:type="dxa" w:w="1600"/>
            <w:tcMar>
              <w:top w:type="dxa" w:w="100"/>
              <w:left w:type="dxa" w:w="120"/>
              <w:bottom w:type="dxa" w:w="100"/>
              <w:right w:type="dxa" w:w="120"/>
            </w:tcMar>
          </w:tcPr>
          <w:p>
            <w:r>
              <w:rPr>
                <w:rFonts w:ascii="Calibri" w:cs="Calibri" w:eastAsia="Calibri" w:hAnsi="Calibri"/>
                <w:b w:val="false"/>
                <w:bCs w:val="false"/>
                <w:sz w:val="20"/>
                <w:szCs w:val="20"/>
              </w:rPr>
              <w:t xml:space="preserve">Ethereum (original WRBNT)</w:t>
            </w:r>
          </w:p>
        </w:tc>
        <w:tc>
          <w:tcPr>
            <w:tcW w:type="dxa" w:w="3600"/>
            <w:tcMar>
              <w:top w:type="dxa" w:w="100"/>
              <w:left w:type="dxa" w:w="120"/>
              <w:bottom w:type="dxa" w:w="100"/>
              <w:right w:type="dxa" w:w="120"/>
            </w:tcMar>
          </w:tcPr>
          <w:p>
            <w:r>
              <w:rPr>
                <w:rFonts w:ascii="Calibri" w:cs="Calibri" w:eastAsia="Calibri" w:hAnsi="Calibri"/>
                <w:b w:val="false"/>
                <w:bCs w:val="false"/>
                <w:sz w:val="20"/>
                <w:szCs w:val="20"/>
              </w:rPr>
              <w:t xml:space="preserve">0xb45ffb51984d626ee758b336c61cf20990c6bf13</w:t>
            </w:r>
          </w:p>
        </w:tc>
        <w:tc>
          <w:tcPr>
            <w:tcW w:type="dxa" w:w="2400"/>
            <w:tcMar>
              <w:top w:type="dxa" w:w="100"/>
              <w:left w:type="dxa" w:w="120"/>
              <w:bottom w:type="dxa" w:w="100"/>
              <w:right w:type="dxa" w:w="120"/>
            </w:tcMar>
          </w:tcPr>
          <w:p>
            <w:r>
              <w:rPr>
                <w:rFonts w:ascii="Calibri" w:cs="Calibri" w:eastAsia="Calibri" w:hAnsi="Calibri"/>
                <w:b w:val="false"/>
                <w:bCs w:val="false"/>
                <w:sz w:val="20"/>
                <w:szCs w:val="20"/>
              </w:rPr>
              <w:t xml:space="preserve">High, dedicated official announcement</w:t>
            </w:r>
          </w:p>
        </w:tc>
        <w:tc>
          <w:tcPr>
            <w:tcW w:type="dxa" w:w="1760"/>
            <w:tcMar>
              <w:top w:type="dxa" w:w="100"/>
              <w:left w:type="dxa" w:w="120"/>
              <w:bottom w:type="dxa" w:w="100"/>
              <w:right w:type="dxa" w:w="120"/>
            </w:tcMar>
          </w:tcPr>
          <w:p>
            <w:r>
              <w:rPr>
                <w:rFonts w:ascii="Calibri" w:cs="Calibri" w:eastAsia="Calibri" w:hAnsi="Calibri"/>
                <w:b w:val="false"/>
                <w:bCs w:val="false"/>
                <w:sz w:val="20"/>
                <w:szCs w:val="20"/>
              </w:rPr>
              <w:t xml:space="preserve">Redbelly's own X post, Feb 2025 (x.com/RedbellyNetwork/status/1890340030197166112). Still listed as WRBNT on Redbelly's developer docs (vine.redbelly.network/bridged-tokens/lucidlabs), checked Aug 2026</w:t>
            </w:r>
          </w:p>
        </w:tc>
      </w:tr>
      <w:tr>
        <w:tc>
          <w:tcPr>
            <w:tcW w:type="dxa" w:w="1600"/>
            <w:shd w:fill="F3F1EA" w:val="clear"/>
            <w:tcMar>
              <w:top w:type="dxa" w:w="100"/>
              <w:left w:type="dxa" w:w="120"/>
              <w:bottom w:type="dxa" w:w="100"/>
              <w:right w:type="dxa" w:w="120"/>
            </w:tcMar>
          </w:tcPr>
          <w:p>
            <w:r>
              <w:rPr>
                <w:rFonts w:ascii="Calibri" w:cs="Calibri" w:eastAsia="Calibri" w:hAnsi="Calibri"/>
                <w:b w:val="false"/>
                <w:bCs w:val="false"/>
                <w:sz w:val="20"/>
                <w:szCs w:val="20"/>
              </w:rPr>
              <w:t xml:space="preserve">Ethereum, Polygon, Arbitrum, Base, Avalanche, Sonic (RBNT via LayerZero)</w:t>
            </w:r>
          </w:p>
        </w:tc>
        <w:tc>
          <w:tcPr>
            <w:tcW w:type="dxa" w:w="3600"/>
            <w:shd w:fill="F3F1EA" w:val="clear"/>
            <w:tcMar>
              <w:top w:type="dxa" w:w="100"/>
              <w:left w:type="dxa" w:w="120"/>
              <w:bottom w:type="dxa" w:w="100"/>
              <w:right w:type="dxa" w:w="120"/>
            </w:tcMar>
          </w:tcPr>
          <w:p>
            <w:r>
              <w:rPr>
                <w:rFonts w:ascii="Calibri" w:cs="Calibri" w:eastAsia="Calibri" w:hAnsi="Calibri"/>
                <w:b w:val="false"/>
                <w:bCs w:val="false"/>
                <w:sz w:val="20"/>
                <w:szCs w:val="20"/>
              </w:rPr>
              <w:t xml:space="preserve">0x020940df9F5E77338a094D55b5B5914122a804A5</w:t>
            </w:r>
          </w:p>
        </w:tc>
        <w:tc>
          <w:tcPr>
            <w:tcW w:type="dxa" w:w="2400"/>
            <w:shd w:fill="F3F1EA" w:val="clear"/>
            <w:tcMar>
              <w:top w:type="dxa" w:w="100"/>
              <w:left w:type="dxa" w:w="120"/>
              <w:bottom w:type="dxa" w:w="100"/>
              <w:right w:type="dxa" w:w="120"/>
            </w:tcMar>
          </w:tcPr>
          <w:p>
            <w:r>
              <w:rPr>
                <w:rFonts w:ascii="Calibri" w:cs="Calibri" w:eastAsia="Calibri" w:hAnsi="Calibri"/>
                <w:b w:val="false"/>
                <w:bCs w:val="false"/>
                <w:sz w:val="20"/>
                <w:szCs w:val="20"/>
              </w:rPr>
              <w:t xml:space="preserve">Medium, no dedicated X announcement, but this exact address is listed on Redbelly developer docs on all six chains</w:t>
            </w:r>
          </w:p>
        </w:tc>
        <w:tc>
          <w:tcPr>
            <w:tcW w:type="dxa" w:w="1760"/>
            <w:shd w:fill="F3F1EA" w:val="clear"/>
            <w:tcMar>
              <w:top w:type="dxa" w:w="100"/>
              <w:left w:type="dxa" w:w="120"/>
              <w:bottom w:type="dxa" w:w="100"/>
              <w:right w:type="dxa" w:w="120"/>
            </w:tcMar>
          </w:tcPr>
          <w:p>
            <w:r>
              <w:rPr>
                <w:rFonts w:ascii="Calibri" w:cs="Calibri" w:eastAsia="Calibri" w:hAnsi="Calibri"/>
                <w:b w:val="false"/>
                <w:bCs w:val="false"/>
                <w:sz w:val="20"/>
                <w:szCs w:val="20"/>
              </w:rPr>
              <w:t xml:space="preserve">Redbelly developer docs (vine.redbelly.network/bridged-tokens/lucidlabs), checked Aug 2026. Different contract from the original Ethereum WRBNT above, the two are not interchangeable</w:t>
            </w:r>
          </w:p>
        </w:tc>
      </w:tr>
      <w:tr>
        <w:tc>
          <w:tcPr>
            <w:tcW w:type="dxa" w:w="1600"/>
            <w:tcMar>
              <w:top w:type="dxa" w:w="100"/>
              <w:left w:type="dxa" w:w="120"/>
              <w:bottom w:type="dxa" w:w="100"/>
              <w:right w:type="dxa" w:w="120"/>
            </w:tcMar>
          </w:tcPr>
          <w:p>
            <w:r>
              <w:rPr>
                <w:rFonts w:ascii="Calibri" w:cs="Calibri" w:eastAsia="Calibri" w:hAnsi="Calibri"/>
                <w:b w:val="false"/>
                <w:bCs w:val="false"/>
                <w:sz w:val="20"/>
                <w:szCs w:val="20"/>
              </w:rPr>
              <w:t xml:space="preserve">BNB Chain</w:t>
            </w:r>
          </w:p>
        </w:tc>
        <w:tc>
          <w:tcPr>
            <w:tcW w:type="dxa" w:w="3600"/>
            <w:tcMar>
              <w:top w:type="dxa" w:w="100"/>
              <w:left w:type="dxa" w:w="120"/>
              <w:bottom w:type="dxa" w:w="100"/>
              <w:right w:type="dxa" w:w="120"/>
            </w:tcMar>
          </w:tcPr>
          <w:p>
            <w:r>
              <w:rPr>
                <w:rFonts w:ascii="Calibri" w:cs="Calibri" w:eastAsia="Calibri" w:hAnsi="Calibri"/>
                <w:b w:val="false"/>
                <w:bCs w:val="false"/>
                <w:sz w:val="20"/>
                <w:szCs w:val="20"/>
              </w:rPr>
              <w:t xml:space="preserve">No official token exists</w:t>
            </w:r>
          </w:p>
        </w:tc>
        <w:tc>
          <w:tcPr>
            <w:tcW w:type="dxa" w:w="2400"/>
            <w:tcMar>
              <w:top w:type="dxa" w:w="100"/>
              <w:left w:type="dxa" w:w="120"/>
              <w:bottom w:type="dxa" w:w="100"/>
              <w:right w:type="dxa" w:w="120"/>
            </w:tcMar>
          </w:tcPr>
          <w:p>
            <w:r>
              <w:rPr>
                <w:rFonts w:ascii="Calibri" w:cs="Calibri" w:eastAsia="Calibri" w:hAnsi="Calibri"/>
                <w:b w:val="false"/>
                <w:bCs w:val="false"/>
                <w:sz w:val="20"/>
                <w:szCs w:val="20"/>
              </w:rPr>
              <w:t xml:space="preserve">No token</w:t>
            </w:r>
          </w:p>
        </w:tc>
        <w:tc>
          <w:tcPr>
            <w:tcW w:type="dxa" w:w="1760"/>
            <w:tcMar>
              <w:top w:type="dxa" w:w="100"/>
              <w:left w:type="dxa" w:w="120"/>
              <w:bottom w:type="dxa" w:w="100"/>
              <w:right w:type="dxa" w:w="120"/>
            </w:tcMar>
          </w:tcPr>
          <w:p>
            <w:r>
              <w:rPr>
                <w:rFonts w:ascii="Calibri" w:cs="Calibri" w:eastAsia="Calibri" w:hAnsi="Calibri"/>
                <w:b w:val="false"/>
                <w:bCs w:val="false"/>
                <w:sz w:val="20"/>
                <w:szCs w:val="20"/>
              </w:rPr>
              <w:t xml:space="preserve">Confirmed absent. Redbelly team, official Discord support channel, 2 Nov 2025 (discord.com/channels/969088176322908160/969088176515854341): “We never had rbnt on bsc. All RBNT on bsc is fake.” Multiple impersonator tokens circulate under the RBNT or RedBelly name on BNB Chain, none are affiliated with Redbelly, do not trust any RBNT token found on this chain</w:t>
            </w:r>
          </w:p>
        </w:tc>
      </w:tr>
      <w:tr>
        <w:tc>
          <w:tcPr>
            <w:tcW w:type="dxa" w:w="1600"/>
            <w:tcMar>
              <w:top w:type="dxa" w:w="100"/>
              <w:left w:type="dxa" w:w="120"/>
              <w:bottom w:type="dxa" w:w="100"/>
              <w:right w:type="dxa" w:w="120"/>
            </w:tcMar>
          </w:tcPr>
          <w:p>
            <w:r>
              <w:rPr>
                <w:rFonts w:ascii="Calibri" w:cs="Calibri" w:eastAsia="Calibri" w:hAnsi="Calibri"/>
                <w:b w:val="false"/>
                <w:bCs w:val="false"/>
                <w:sz w:val="20"/>
                <w:szCs w:val="20"/>
              </w:rPr>
              <w:t xml:space="preserve">Solana</w:t>
            </w:r>
          </w:p>
        </w:tc>
        <w:tc>
          <w:tcPr>
            <w:tcW w:type="dxa" w:w="3600"/>
            <w:tcMar>
              <w:top w:type="dxa" w:w="100"/>
              <w:left w:type="dxa" w:w="120"/>
              <w:bottom w:type="dxa" w:w="100"/>
              <w:right w:type="dxa" w:w="120"/>
            </w:tcMar>
          </w:tcPr>
          <w:p>
            <w:r>
              <w:rPr>
                <w:rFonts w:ascii="Calibri" w:cs="Calibri" w:eastAsia="Calibri" w:hAnsi="Calibri"/>
                <w:b w:val="false"/>
                <w:bCs w:val="false"/>
                <w:sz w:val="20"/>
                <w:szCs w:val="20"/>
              </w:rPr>
              <w:t xml:space="preserve">AKbyFYEgueHwS7V4S3gXsWpGJZvv3f7WMkRMFdrenSG1</w:t>
            </w:r>
          </w:p>
        </w:tc>
        <w:tc>
          <w:tcPr>
            <w:tcW w:type="dxa" w:w="2400"/>
            <w:tcMar>
              <w:top w:type="dxa" w:w="100"/>
              <w:left w:type="dxa" w:w="120"/>
              <w:bottom w:type="dxa" w:w="100"/>
              <w:right w:type="dxa" w:w="120"/>
            </w:tcMar>
          </w:tcPr>
          <w:p>
            <w:r>
              <w:rPr>
                <w:rFonts w:ascii="Calibri" w:cs="Calibri" w:eastAsia="Calibri" w:hAnsi="Calibri"/>
                <w:b w:val="false"/>
                <w:bCs w:val="false"/>
                <w:sz w:val="20"/>
                <w:szCs w:val="20"/>
              </w:rPr>
              <w:t xml:space="preserve">High</w:t>
            </w:r>
          </w:p>
        </w:tc>
        <w:tc>
          <w:tcPr>
            <w:tcW w:type="dxa" w:w="1760"/>
            <w:tcMar>
              <w:top w:type="dxa" w:w="100"/>
              <w:left w:type="dxa" w:w="120"/>
              <w:bottom w:type="dxa" w:w="100"/>
              <w:right w:type="dxa" w:w="120"/>
            </w:tcMar>
          </w:tcPr>
          <w:p>
            <w:r>
              <w:rPr>
                <w:rFonts w:ascii="Calibri" w:cs="Calibri" w:eastAsia="Calibri" w:hAnsi="Calibri"/>
                <w:b w:val="false"/>
                <w:bCs w:val="false"/>
                <w:sz w:val="20"/>
                <w:szCs w:val="20"/>
              </w:rPr>
              <w:t xml:space="preserve">Redbelly team, official Discord announcement, 26 May 2026 (same link as above). New tokens distributed automatically at 04:59 UTC the same day. Also listed on Redbelly developer docs (vine.redbelly.network/bridged-tokens/layerzero)</w:t>
            </w:r>
          </w:p>
        </w:tc>
      </w:tr>
      <w:tr>
        <w:tc>
          <w:tcPr>
            <w:tcW w:type="dxa" w:w="1600"/>
            <w:shd w:fill="F3F1EA" w:val="clear"/>
            <w:tcMar>
              <w:top w:type="dxa" w:w="100"/>
              <w:left w:type="dxa" w:w="120"/>
              <w:bottom w:type="dxa" w:w="100"/>
              <w:right w:type="dxa" w:w="120"/>
            </w:tcMar>
          </w:tcPr>
          <w:p>
            <w:r>
              <w:rPr>
                <w:rFonts w:ascii="Calibri" w:cs="Calibri" w:eastAsia="Calibri" w:hAnsi="Calibri"/>
                <w:b w:val="false"/>
                <w:bCs w:val="false"/>
                <w:sz w:val="20"/>
                <w:szCs w:val="20"/>
              </w:rPr>
              <w:t xml:space="preserve">Redbelly Network (native chain)</w:t>
            </w:r>
          </w:p>
        </w:tc>
        <w:tc>
          <w:tcPr>
            <w:tcW w:type="dxa" w:w="3600"/>
            <w:shd w:fill="F3F1EA" w:val="clear"/>
            <w:tcMar>
              <w:top w:type="dxa" w:w="100"/>
              <w:left w:type="dxa" w:w="120"/>
              <w:bottom w:type="dxa" w:w="100"/>
              <w:right w:type="dxa" w:w="120"/>
            </w:tcMar>
          </w:tcPr>
          <w:p>
            <w:r>
              <w:rPr>
                <w:rFonts w:ascii="Calibri" w:cs="Calibri" w:eastAsia="Calibri" w:hAnsi="Calibri"/>
                <w:b w:val="false"/>
                <w:bCs w:val="false"/>
                <w:sz w:val="20"/>
                <w:szCs w:val="20"/>
              </w:rPr>
              <w:t xml:space="preserve">0x6ed1F491e2d31536D6561f6bdB2AdC8F092a6076</w:t>
            </w:r>
          </w:p>
        </w:tc>
        <w:tc>
          <w:tcPr>
            <w:tcW w:type="dxa" w:w="2400"/>
            <w:shd w:fill="F3F1EA" w:val="clear"/>
            <w:tcMar>
              <w:top w:type="dxa" w:w="100"/>
              <w:left w:type="dxa" w:w="120"/>
              <w:bottom w:type="dxa" w:w="100"/>
              <w:right w:type="dxa" w:w="120"/>
            </w:tcMar>
          </w:tcPr>
          <w:p>
            <w:r>
              <w:rPr>
                <w:rFonts w:ascii="Calibri" w:cs="Calibri" w:eastAsia="Calibri" w:hAnsi="Calibri"/>
                <w:b w:val="false"/>
                <w:bCs w:val="false"/>
                <w:sz w:val="20"/>
                <w:szCs w:val="20"/>
              </w:rPr>
              <w:t xml:space="preserve">High, confirmed directly</w:t>
            </w:r>
          </w:p>
        </w:tc>
        <w:tc>
          <w:tcPr>
            <w:tcW w:type="dxa" w:w="1760"/>
            <w:shd w:fill="F3F1EA" w:val="clear"/>
            <w:tcMar>
              <w:top w:type="dxa" w:w="100"/>
              <w:left w:type="dxa" w:w="120"/>
              <w:bottom w:type="dxa" w:w="100"/>
              <w:right w:type="dxa" w:w="120"/>
            </w:tcMar>
          </w:tcPr>
          <w:p>
            <w:r>
              <w:rPr>
                <w:rFonts w:ascii="Calibri" w:cs="Calibri" w:eastAsia="Calibri" w:hAnsi="Calibri"/>
                <w:b w:val="false"/>
                <w:bCs w:val="false"/>
                <w:sz w:val="20"/>
                <w:szCs w:val="20"/>
              </w:rPr>
              <w:t xml:space="preserve">Redbelly's own Medium blog (medium.com/@redbellyblockchain, How To Claim Your RBNT Rewards)</w:t>
            </w:r>
          </w:p>
        </w:tc>
      </w:tr>
    </w:tbl>
    <w:p>
      <w:pPr>
        <w:spacing w:after="200"/>
      </w:pPr>
    </w:p>
    <w:p>
      <w:pPr>
        <w:pStyle w:val="Heading2"/>
        <w:spacing w:after="150" w:before="300"/>
      </w:pPr>
      <w:r>
        <w:rPr>
          <w:b/>
          <w:bCs/>
          <w:color w:val="B23A2F"/>
        </w:rPr>
        <w:t xml:space="preserve">Current Swap Liquidity by Chain</w:t>
      </w:r>
    </w:p>
    <w:p>
      <w:pPr>
        <w:spacing w:after="160"/>
      </w:pPr>
      <w:r>
        <w:rPr>
          <w:b w:val="false"/>
          <w:bCs w:val="false"/>
          <w:i w:val="false"/>
          <w:iCs w:val="false"/>
          <w:sz w:val="22"/>
          <w:szCs w:val="22"/>
        </w:rPr>
        <w:t xml:space="preserve">Checked live, August 2026. Verified liquidity is thin across every chain right now. If your swap shows a large price impact warning, that is usually the pool telling you the truth, not a bug in your wallet.</w:t>
      </w:r>
    </w:p>
    <w:p>
      <w:pPr>
        <w:pStyle w:val="Heading3"/>
        <w:spacing w:after="100" w:before="200"/>
      </w:pPr>
      <w:r>
        <w:rPr>
          <w:b/>
          <w:bCs/>
        </w:rPr>
        <w:t xml:space="preserve">Ethereum</w:t>
      </w:r>
    </w:p>
    <w:p>
      <w:pPr>
        <w:spacing w:after="160"/>
      </w:pPr>
      <w:r>
        <w:rPr>
          <w:b w:val="false"/>
          <w:bCs w:val="false"/>
          <w:i w:val="false"/>
          <w:iCs w:val="false"/>
          <w:sz w:val="22"/>
          <w:szCs w:val="22"/>
        </w:rPr>
        <w:t xml:space="preserve">The on chain pool holds roughly $33,000 in WRBNT paired against WETH. At this depth, swap size changes the outcome sharply.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2937" w:val="clear"/>
            <w:tcMar>
              <w:top w:type="dxa" w:w="100"/>
              <w:left w:type="dxa" w:w="120"/>
              <w:bottom w:type="dxa" w:w="100"/>
              <w:right w:type="dxa" w:w="120"/>
            </w:tcMar>
          </w:tcPr>
          <w:p>
            <w:r>
              <w:rPr>
                <w:rFonts w:ascii="Calibri" w:cs="Calibri" w:eastAsia="Calibri" w:hAnsi="Calibri"/>
                <w:b/>
                <w:bCs/>
                <w:color w:val="FFFFFF"/>
                <w:sz w:val="19"/>
                <w:szCs w:val="19"/>
              </w:rPr>
              <w:t xml:space="preserve">Swap size</w:t>
            </w:r>
          </w:p>
        </w:tc>
        <w:tc>
          <w:tcPr>
            <w:tcW w:type="dxa" w:w="4680"/>
            <w:shd w:fill="1F2937" w:val="clear"/>
            <w:tcMar>
              <w:top w:type="dxa" w:w="100"/>
              <w:left w:type="dxa" w:w="120"/>
              <w:bottom w:type="dxa" w:w="100"/>
              <w:right w:type="dxa" w:w="120"/>
            </w:tcMar>
          </w:tcPr>
          <w:p>
            <w:r>
              <w:rPr>
                <w:rFonts w:ascii="Calibri" w:cs="Calibri" w:eastAsia="Calibri" w:hAnsi="Calibri"/>
                <w:b/>
                <w:bCs/>
                <w:color w:val="FFFFFF"/>
                <w:sz w:val="19"/>
                <w:szCs w:val="19"/>
              </w:rPr>
              <w:t xml:space="preserve">Price impact</w:t>
            </w:r>
          </w:p>
        </w:tc>
      </w:tr>
      <w:tr>
        <w:tc>
          <w:tcPr>
            <w:tcW w:type="dxa" w:w="4680"/>
            <w:tcMar>
              <w:top w:type="dxa" w:w="100"/>
              <w:left w:type="dxa" w:w="120"/>
              <w:bottom w:type="dxa" w:w="100"/>
              <w:right w:type="dxa" w:w="120"/>
            </w:tcMar>
          </w:tcPr>
          <w:p>
            <w:r>
              <w:rPr>
                <w:rFonts w:ascii="Calibri" w:cs="Calibri" w:eastAsia="Calibri" w:hAnsi="Calibri"/>
                <w:b w:val="false"/>
                <w:bCs w:val="false"/>
                <w:sz w:val="20"/>
                <w:szCs w:val="20"/>
              </w:rPr>
              <w:t xml:space="preserve">100,000 WRBNT</w:t>
            </w:r>
          </w:p>
        </w:tc>
        <w:tc>
          <w:tcPr>
            <w:tcW w:type="dxa" w:w="4680"/>
            <w:tcMar>
              <w:top w:type="dxa" w:w="100"/>
              <w:left w:type="dxa" w:w="120"/>
              <w:bottom w:type="dxa" w:w="100"/>
              <w:right w:type="dxa" w:w="120"/>
            </w:tcMar>
          </w:tcPr>
          <w:p>
            <w:r>
              <w:rPr>
                <w:rFonts w:ascii="Calibri" w:cs="Calibri" w:eastAsia="Calibri" w:hAnsi="Calibri"/>
                <w:b w:val="false"/>
                <w:bCs w:val="false"/>
                <w:sz w:val="20"/>
                <w:szCs w:val="20"/>
              </w:rPr>
              <w:t xml:space="preserve">1.5% to 2.9%, depending on aggregator</w:t>
            </w:r>
          </w:p>
        </w:tc>
      </w:tr>
      <w:tr>
        <w:tc>
          <w:tcPr>
            <w:tcW w:type="dxa" w:w="4680"/>
            <w:shd w:fill="F3F1EA" w:val="clear"/>
            <w:tcMar>
              <w:top w:type="dxa" w:w="100"/>
              <w:left w:type="dxa" w:w="120"/>
              <w:bottom w:type="dxa" w:w="100"/>
              <w:right w:type="dxa" w:w="120"/>
            </w:tcMar>
          </w:tcPr>
          <w:p>
            <w:r>
              <w:rPr>
                <w:rFonts w:ascii="Calibri" w:cs="Calibri" w:eastAsia="Calibri" w:hAnsi="Calibri"/>
                <w:b w:val="false"/>
                <w:bCs w:val="false"/>
                <w:sz w:val="20"/>
                <w:szCs w:val="20"/>
              </w:rPr>
              <w:t xml:space="preserve">1,000,000 WRBNT</w:t>
            </w:r>
          </w:p>
        </w:tc>
        <w:tc>
          <w:tcPr>
            <w:tcW w:type="dxa" w:w="4680"/>
            <w:shd w:fill="F3F1EA" w:val="clear"/>
            <w:tcMar>
              <w:top w:type="dxa" w:w="100"/>
              <w:left w:type="dxa" w:w="120"/>
              <w:bottom w:type="dxa" w:w="100"/>
              <w:right w:type="dxa" w:w="120"/>
            </w:tcMar>
          </w:tcPr>
          <w:p>
            <w:r>
              <w:rPr>
                <w:rFonts w:ascii="Calibri" w:cs="Calibri" w:eastAsia="Calibri" w:hAnsi="Calibri"/>
                <w:b w:val="false"/>
                <w:bCs w:val="false"/>
                <w:sz w:val="20"/>
                <w:szCs w:val="20"/>
              </w:rPr>
              <w:t xml:space="preserve">13% on 1inch, 14% on OKX</w:t>
            </w:r>
          </w:p>
        </w:tc>
      </w:tr>
    </w:tbl>
    <w:p>
      <w:pPr>
        <w:spacing w:after="200"/>
      </w:pPr>
    </w:p>
    <w:p>
      <w:pPr>
        <w:pStyle w:val="Heading3"/>
        <w:spacing w:after="100" w:before="200"/>
      </w:pPr>
      <w:r>
        <w:rPr>
          <w:b/>
          <w:bCs/>
        </w:rPr>
        <w:t xml:space="preserve">Solana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2937" w:val="clear"/>
            <w:tcMar>
              <w:top w:type="dxa" w:w="100"/>
              <w:left w:type="dxa" w:w="120"/>
              <w:bottom w:type="dxa" w:w="100"/>
              <w:right w:type="dxa" w:w="120"/>
            </w:tcMar>
          </w:tcPr>
          <w:p>
            <w:r>
              <w:rPr>
                <w:rFonts w:ascii="Calibri" w:cs="Calibri" w:eastAsia="Calibri" w:hAnsi="Calibri"/>
                <w:b/>
                <w:bCs/>
                <w:color w:val="FFFFFF"/>
                <w:sz w:val="19"/>
                <w:szCs w:val="19"/>
              </w:rPr>
              <w:t xml:space="preserve">Swap size</w:t>
            </w:r>
          </w:p>
        </w:tc>
        <w:tc>
          <w:tcPr>
            <w:tcW w:type="dxa" w:w="4680"/>
            <w:shd w:fill="1F2937" w:val="clear"/>
            <w:tcMar>
              <w:top w:type="dxa" w:w="100"/>
              <w:left w:type="dxa" w:w="120"/>
              <w:bottom w:type="dxa" w:w="100"/>
              <w:right w:type="dxa" w:w="120"/>
            </w:tcMar>
          </w:tcPr>
          <w:p>
            <w:r>
              <w:rPr>
                <w:rFonts w:ascii="Calibri" w:cs="Calibri" w:eastAsia="Calibri" w:hAnsi="Calibri"/>
                <w:b/>
                <w:bCs/>
                <w:color w:val="FFFFFF"/>
                <w:sz w:val="19"/>
                <w:szCs w:val="19"/>
              </w:rPr>
              <w:t xml:space="preserve">Price impact</w:t>
            </w:r>
          </w:p>
        </w:tc>
      </w:tr>
      <w:tr>
        <w:tc>
          <w:tcPr>
            <w:tcW w:type="dxa" w:w="4680"/>
            <w:tcMar>
              <w:top w:type="dxa" w:w="100"/>
              <w:left w:type="dxa" w:w="120"/>
              <w:bottom w:type="dxa" w:w="100"/>
              <w:right w:type="dxa" w:w="120"/>
            </w:tcMar>
          </w:tcPr>
          <w:p>
            <w:r>
              <w:rPr>
                <w:rFonts w:ascii="Calibri" w:cs="Calibri" w:eastAsia="Calibri" w:hAnsi="Calibri"/>
                <w:b w:val="false"/>
                <w:bCs w:val="false"/>
                <w:sz w:val="20"/>
                <w:szCs w:val="20"/>
              </w:rPr>
              <w:t xml:space="preserve">10,000 WRBNT</w:t>
            </w:r>
          </w:p>
        </w:tc>
        <w:tc>
          <w:tcPr>
            <w:tcW w:type="dxa" w:w="4680"/>
            <w:tcMar>
              <w:top w:type="dxa" w:w="100"/>
              <w:left w:type="dxa" w:w="120"/>
              <w:bottom w:type="dxa" w:w="100"/>
              <w:right w:type="dxa" w:w="120"/>
            </w:tcMar>
          </w:tcPr>
          <w:p>
            <w:r>
              <w:rPr>
                <w:rFonts w:ascii="Calibri" w:cs="Calibri" w:eastAsia="Calibri" w:hAnsi="Calibri"/>
                <w:b w:val="false"/>
                <w:bCs w:val="false"/>
                <w:sz w:val="20"/>
                <w:szCs w:val="20"/>
              </w:rPr>
              <w:t xml:space="preserve">86.77% on Raydium</w:t>
            </w:r>
          </w:p>
        </w:tc>
      </w:tr>
    </w:tbl>
    <w:p>
      <w:pPr>
        <w:spacing w:after="160"/>
      </w:pPr>
      <w:r>
        <w:rPr>
          <w:b w:val="false"/>
          <w:bCs w:val="false"/>
          <w:i w:val="false"/>
          <w:iCs w:val="false"/>
          <w:sz w:val="22"/>
          <w:szCs w:val="22"/>
        </w:rPr>
        <w:t xml:space="preserve">Compare your wallet's Solana RBNT contract against the address in Part 2 before doing anything else, this is the single most common cause of a token showing zero value on Solana. Current trading pool: wSOL/RBNT on Raydium (9oTcYnRPsSVaZFk6n85ADjQRKc9m8h1bZPycXv6gPBkR).</w:t>
      </w:r>
    </w:p>
    <w:p>
      <w:pPr>
        <w:pStyle w:val="Heading3"/>
        <w:spacing w:after="100" w:before="200"/>
      </w:pPr>
      <w:r>
        <w:rPr>
          <w:b/>
          <w:bCs/>
        </w:rPr>
        <w:t xml:space="preserve">Base</w:t>
      </w:r>
    </w:p>
    <w:p>
      <w:pPr>
        <w:spacing w:after="160"/>
      </w:pPr>
      <w:r>
        <w:rPr>
          <w:b w:val="false"/>
          <w:bCs w:val="false"/>
          <w:i w:val="false"/>
          <w:iCs w:val="false"/>
          <w:sz w:val="22"/>
          <w:szCs w:val="22"/>
        </w:rPr>
        <w:t xml:space="preserve">Confirm your token address matches 0x020940df9F5E77338a094D55b5B5914122a804A5 before reading these numbers. A different Base address is not the same token even if it also calls itself RBNT.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2937" w:val="clear"/>
            <w:tcMar>
              <w:top w:type="dxa" w:w="100"/>
              <w:left w:type="dxa" w:w="120"/>
              <w:bottom w:type="dxa" w:w="100"/>
              <w:right w:type="dxa" w:w="120"/>
            </w:tcMar>
          </w:tcPr>
          <w:p>
            <w:r>
              <w:rPr>
                <w:rFonts w:ascii="Calibri" w:cs="Calibri" w:eastAsia="Calibri" w:hAnsi="Calibri"/>
                <w:b/>
                <w:bCs/>
                <w:color w:val="FFFFFF"/>
                <w:sz w:val="19"/>
                <w:szCs w:val="19"/>
              </w:rPr>
              <w:t xml:space="preserve">Swap size</w:t>
            </w:r>
          </w:p>
        </w:tc>
        <w:tc>
          <w:tcPr>
            <w:tcW w:type="dxa" w:w="3120"/>
            <w:shd w:fill="1F2937" w:val="clear"/>
            <w:tcMar>
              <w:top w:type="dxa" w:w="100"/>
              <w:left w:type="dxa" w:w="120"/>
              <w:bottom w:type="dxa" w:w="100"/>
              <w:right w:type="dxa" w:w="120"/>
            </w:tcMar>
          </w:tcPr>
          <w:p>
            <w:r>
              <w:rPr>
                <w:rFonts w:ascii="Calibri" w:cs="Calibri" w:eastAsia="Calibri" w:hAnsi="Calibri"/>
                <w:b/>
                <w:bCs/>
                <w:color w:val="FFFFFF"/>
                <w:sz w:val="19"/>
                <w:szCs w:val="19"/>
              </w:rPr>
              <w:t xml:space="preserve">Price impact</w:t>
            </w:r>
          </w:p>
        </w:tc>
        <w:tc>
          <w:tcPr>
            <w:tcW w:type="dxa" w:w="3120"/>
            <w:shd w:fill="1F2937" w:val="clear"/>
            <w:tcMar>
              <w:top w:type="dxa" w:w="100"/>
              <w:left w:type="dxa" w:w="120"/>
              <w:bottom w:type="dxa" w:w="100"/>
              <w:right w:type="dxa" w:w="120"/>
            </w:tcMar>
          </w:tcPr>
          <w:p>
            <w:r>
              <w:rPr>
                <w:rFonts w:ascii="Calibri" w:cs="Calibri" w:eastAsia="Calibri" w:hAnsi="Calibri"/>
                <w:b/>
                <w:bCs/>
                <w:color w:val="FFFFFF"/>
                <w:sz w:val="19"/>
                <w:szCs w:val="19"/>
              </w:rPr>
              <w:t xml:space="preserve">Aggregator</w:t>
            </w:r>
          </w:p>
        </w:tc>
      </w:tr>
      <w:tr>
        <w:tc>
          <w:tcPr>
            <w:tcW w:type="dxa" w:w="3120"/>
            <w:tcMar>
              <w:top w:type="dxa" w:w="100"/>
              <w:left w:type="dxa" w:w="120"/>
              <w:bottom w:type="dxa" w:w="100"/>
              <w:right w:type="dxa" w:w="120"/>
            </w:tcMar>
          </w:tcPr>
          <w:p>
            <w:r>
              <w:rPr>
                <w:rFonts w:ascii="Calibri" w:cs="Calibri" w:eastAsia="Calibri" w:hAnsi="Calibri"/>
                <w:b w:val="false"/>
                <w:bCs w:val="false"/>
                <w:sz w:val="20"/>
                <w:szCs w:val="20"/>
              </w:rPr>
              <w:t xml:space="preserve">1,000,000 RBNT</w:t>
            </w:r>
          </w:p>
        </w:tc>
        <w:tc>
          <w:tcPr>
            <w:tcW w:type="dxa" w:w="3120"/>
            <w:tcMar>
              <w:top w:type="dxa" w:w="100"/>
              <w:left w:type="dxa" w:w="120"/>
              <w:bottom w:type="dxa" w:w="100"/>
              <w:right w:type="dxa" w:w="120"/>
            </w:tcMar>
          </w:tcPr>
          <w:p>
            <w:r>
              <w:rPr>
                <w:rFonts w:ascii="Calibri" w:cs="Calibri" w:eastAsia="Calibri" w:hAnsi="Calibri"/>
                <w:b w:val="false"/>
                <w:bCs w:val="false"/>
                <w:sz w:val="20"/>
                <w:szCs w:val="20"/>
              </w:rPr>
              <w:t xml:space="preserve">7.9%</w:t>
            </w:r>
          </w:p>
        </w:tc>
        <w:tc>
          <w:tcPr>
            <w:tcW w:type="dxa" w:w="3120"/>
            <w:tcMar>
              <w:top w:type="dxa" w:w="100"/>
              <w:left w:type="dxa" w:w="120"/>
              <w:bottom w:type="dxa" w:w="100"/>
              <w:right w:type="dxa" w:w="120"/>
            </w:tcMar>
          </w:tcPr>
          <w:p>
            <w:r>
              <w:rPr>
                <w:rFonts w:ascii="Calibri" w:cs="Calibri" w:eastAsia="Calibri" w:hAnsi="Calibri"/>
                <w:b w:val="false"/>
                <w:bCs w:val="false"/>
                <w:sz w:val="20"/>
                <w:szCs w:val="20"/>
              </w:rPr>
              <w:t xml:space="preserve">KyberSwap</w:t>
            </w:r>
          </w:p>
        </w:tc>
      </w:tr>
      <w:tr>
        <w:tc>
          <w:tcPr>
            <w:tcW w:type="dxa" w:w="3120"/>
            <w:shd w:fill="F3F1EA" w:val="clear"/>
            <w:tcMar>
              <w:top w:type="dxa" w:w="100"/>
              <w:left w:type="dxa" w:w="120"/>
              <w:bottom w:type="dxa" w:w="100"/>
              <w:right w:type="dxa" w:w="120"/>
            </w:tcMar>
          </w:tcPr>
          <w:p>
            <w:r>
              <w:rPr>
                <w:rFonts w:ascii="Calibri" w:cs="Calibri" w:eastAsia="Calibri" w:hAnsi="Calibri"/>
                <w:b w:val="false"/>
                <w:bCs w:val="false"/>
                <w:sz w:val="20"/>
                <w:szCs w:val="20"/>
              </w:rPr>
              <w:t xml:space="preserve">1,000,000 RBNT</w:t>
            </w:r>
          </w:p>
        </w:tc>
        <w:tc>
          <w:tcPr>
            <w:tcW w:type="dxa" w:w="3120"/>
            <w:shd w:fill="F3F1EA" w:val="clear"/>
            <w:tcMar>
              <w:top w:type="dxa" w:w="100"/>
              <w:left w:type="dxa" w:w="120"/>
              <w:bottom w:type="dxa" w:w="100"/>
              <w:right w:type="dxa" w:w="120"/>
            </w:tcMar>
          </w:tcPr>
          <w:p>
            <w:r>
              <w:rPr>
                <w:rFonts w:ascii="Calibri" w:cs="Calibri" w:eastAsia="Calibri" w:hAnsi="Calibri"/>
                <w:b w:val="false"/>
                <w:bCs w:val="false"/>
                <w:sz w:val="20"/>
                <w:szCs w:val="20"/>
              </w:rPr>
              <w:t xml:space="preserve">8.0%</w:t>
            </w:r>
          </w:p>
        </w:tc>
        <w:tc>
          <w:tcPr>
            <w:tcW w:type="dxa" w:w="3120"/>
            <w:shd w:fill="F3F1EA" w:val="clear"/>
            <w:tcMar>
              <w:top w:type="dxa" w:w="100"/>
              <w:left w:type="dxa" w:w="120"/>
              <w:bottom w:type="dxa" w:w="100"/>
              <w:right w:type="dxa" w:w="120"/>
            </w:tcMar>
          </w:tcPr>
          <w:p>
            <w:r>
              <w:rPr>
                <w:rFonts w:ascii="Calibri" w:cs="Calibri" w:eastAsia="Calibri" w:hAnsi="Calibri"/>
                <w:b w:val="false"/>
                <w:bCs w:val="false"/>
                <w:sz w:val="20"/>
                <w:szCs w:val="20"/>
              </w:rPr>
              <w:t xml:space="preserve">Jumper style aggregator</w:t>
            </w:r>
          </w:p>
        </w:tc>
      </w:tr>
      <w:tr>
        <w:tc>
          <w:tcPr>
            <w:tcW w:type="dxa" w:w="3120"/>
            <w:tcMar>
              <w:top w:type="dxa" w:w="100"/>
              <w:left w:type="dxa" w:w="120"/>
              <w:bottom w:type="dxa" w:w="100"/>
              <w:right w:type="dxa" w:w="120"/>
            </w:tcMar>
          </w:tcPr>
          <w:p>
            <w:r>
              <w:rPr>
                <w:rFonts w:ascii="Calibri" w:cs="Calibri" w:eastAsia="Calibri" w:hAnsi="Calibri"/>
                <w:b w:val="false"/>
                <w:bCs w:val="false"/>
                <w:sz w:val="20"/>
                <w:szCs w:val="20"/>
              </w:rPr>
              <w:t xml:space="preserve">100,000 RBNT</w:t>
            </w:r>
          </w:p>
        </w:tc>
        <w:tc>
          <w:tcPr>
            <w:tcW w:type="dxa" w:w="3120"/>
            <w:tcMar>
              <w:top w:type="dxa" w:w="100"/>
              <w:left w:type="dxa" w:w="120"/>
              <w:bottom w:type="dxa" w:w="100"/>
              <w:right w:type="dxa" w:w="120"/>
            </w:tcMar>
          </w:tcPr>
          <w:p>
            <w:r>
              <w:rPr>
                <w:rFonts w:ascii="Calibri" w:cs="Calibri" w:eastAsia="Calibri" w:hAnsi="Calibri"/>
                <w:b w:val="false"/>
                <w:bCs w:val="false"/>
                <w:sz w:val="20"/>
                <w:szCs w:val="20"/>
              </w:rPr>
              <w:t xml:space="preserve">13.4%</w:t>
            </w:r>
          </w:p>
        </w:tc>
        <w:tc>
          <w:tcPr>
            <w:tcW w:type="dxa" w:w="3120"/>
            <w:tcMar>
              <w:top w:type="dxa" w:w="100"/>
              <w:left w:type="dxa" w:w="120"/>
              <w:bottom w:type="dxa" w:w="100"/>
              <w:right w:type="dxa" w:w="120"/>
            </w:tcMar>
          </w:tcPr>
          <w:p>
            <w:r>
              <w:rPr>
                <w:rFonts w:ascii="Calibri" w:cs="Calibri" w:eastAsia="Calibri" w:hAnsi="Calibri"/>
                <w:b w:val="false"/>
                <w:bCs w:val="false"/>
                <w:sz w:val="20"/>
                <w:szCs w:val="20"/>
              </w:rPr>
              <w:t xml:space="preserve">Separate on chain swap widget</w:t>
            </w:r>
          </w:p>
        </w:tc>
      </w:tr>
    </w:tbl>
    <w:p>
      <w:pPr>
        <w:pBdr>
          <w:left w:val="single" w:color="B23A2F" w:sz="24" w:space="8"/>
        </w:pBdr>
        <w:shd w:fill="F3F1EA" w:val="clear"/>
        <w:spacing w:after="220" w:before="120"/>
        <w:ind w:left="200"/>
      </w:pPr>
      <w:r>
        <w:rPr>
          <w:b/>
          <w:bCs/>
          <w:sz w:val="22"/>
          <w:szCs w:val="22"/>
        </w:rPr>
        <w:t xml:space="preserve">Worth noting: at matched swap sizes, Base currently shows lower price impact than Ethereum, even though Base has no dedicated official liquidity announcement from Redbelly and CoinMarketCap lists its pool as unverified with no prior trading volume. Pool depth and official confirmation are separate questions. Base scores better on depth, worse on confirmation.</w:t>
      </w:r>
    </w:p>
    <w:p>
      <w:pPr>
        <w:spacing w:after="160"/>
      </w:pPr>
      <w:r>
        <w:rPr>
          <w:b w:val="false"/>
          <w:bCs w:val="false"/>
          <w:i w:val="false"/>
          <w:iCs w:val="false"/>
          <w:sz w:val="22"/>
          <w:szCs w:val="22"/>
        </w:rPr>
        <w:t xml:space="preserve">Return path bridge for native RBNT (bringing RBNT from another chain back to Redbelly Network): Redbelly's own developer docs name Lucid Labs Bridge for this direction specifically. Covered in detail in Part 4.</w:t>
      </w:r>
    </w:p>
    <w:p>
      <w:pPr>
        <w:spacing w:after="160"/>
      </w:pPr>
      <w:r>
        <w:rPr>
          <w:b w:val="false"/>
          <w:bCs w:val="false"/>
          <w:i w:val="false"/>
          <w:iCs w:val="false"/>
          <w:sz w:val="22"/>
          <w:szCs w:val="22"/>
        </w:rPr>
        <w:t xml:space="preserve">USDC and USDT bridging into Redbelly Network: Redbelly's own X account points users to reddex, described in its own bio as the official and exclusive DEX of Redbelly Network. Covered in detail in Part 5.</w:t>
      </w:r>
    </w:p>
    <w:p>
      <w:r>
        <w:br w:type="page"/>
      </w:r>
    </w:p>
    <w:p>
      <w:pPr>
        <w:pStyle w:val="Heading1"/>
        <w:spacing w:after="200" w:before="400"/>
      </w:pPr>
      <w:r>
        <w:rPr>
          <w:b/>
          <w:bCs/>
          <w:color w:val="1F2937"/>
        </w:rPr>
        <w:t xml:space="preserve">Part 3. Failure Mode 1: Wrapped RBNT Zero Value or Swap Fail</w:t>
      </w:r>
    </w:p>
    <w:p>
      <w:pPr>
        <w:pBdr>
          <w:left w:val="single" w:color="B23A2F" w:sz="24" w:space="8"/>
        </w:pBdr>
        <w:shd w:fill="F3F1EA" w:val="clear"/>
        <w:spacing w:after="220" w:before="120"/>
        <w:ind w:left="200"/>
      </w:pPr>
      <w:r>
        <w:rPr>
          <w:b/>
          <w:bCs/>
          <w:sz w:val="22"/>
          <w:szCs w:val="22"/>
        </w:rPr>
        <w:t xml:space="preserve">If your wrapped RBNT shows zero value or a swap keeps failing, the cause is almost always one of three things: a wrong or unverified contract address, thin pool liquidity at your swap size, or a swap route being sent to a chain your token was never issued on. Check these in order.</w:t>
      </w:r>
    </w:p>
    <w:p>
      <w:pPr>
        <w:pStyle w:val="Heading3"/>
        <w:spacing w:after="100" w:before="200"/>
      </w:pPr>
      <w:r>
        <w:rPr>
          <w:b/>
          <w:bCs/>
        </w:rPr>
        <w:t xml:space="preserve">Step 1. Confirm the contract address</w:t>
      </w:r>
    </w:p>
    <w:p>
      <w:pPr>
        <w:spacing w:after="160"/>
      </w:pPr>
      <w:r>
        <w:rPr>
          <w:b w:val="false"/>
          <w:bCs w:val="false"/>
          <w:i w:val="false"/>
          <w:iCs w:val="false"/>
          <w:sz w:val="22"/>
          <w:szCs w:val="22"/>
        </w:rPr>
        <w:t xml:space="preserve">Open your wallet and check the exact contract address for the token you are holding. Compare it against the verified table in Part 2. Do not compare by token name or logo, both can be copied by an unrelated contract.</w:t>
      </w:r>
    </w:p>
    <w:p>
      <w:pPr>
        <w:pStyle w:val="ListParagraph"/>
        <w:numPr>
          <w:ilvl w:val="0"/>
          <w:numId w:val="2"/>
        </w:numPr>
        <w:spacing w:after="80"/>
      </w:pPr>
      <w:r>
        <w:rPr>
          <w:sz w:val="22"/>
          <w:szCs w:val="22"/>
        </w:rPr>
        <w:t xml:space="preserve">Ethereum, original WRBNT: 0xb45ffb51984d626ee758b336c61cf20990c6bf13</w:t>
      </w:r>
    </w:p>
    <w:p>
      <w:pPr>
        <w:pStyle w:val="ListParagraph"/>
        <w:numPr>
          <w:ilvl w:val="0"/>
          <w:numId w:val="2"/>
        </w:numPr>
        <w:spacing w:after="80"/>
      </w:pPr>
      <w:r>
        <w:rPr>
          <w:sz w:val="22"/>
          <w:szCs w:val="22"/>
        </w:rPr>
        <w:t xml:space="preserve">Ethereum, Polygon, Arbitrum, Base, Avalanche, Sonic, RBNT via LayerZero: 0x020940df9F5E77338a094D55b5B5914122a804A5, same address on all six chains</w:t>
      </w:r>
    </w:p>
    <w:p>
      <w:pPr>
        <w:pStyle w:val="ListParagraph"/>
        <w:numPr>
          <w:ilvl w:val="0"/>
          <w:numId w:val="2"/>
        </w:numPr>
        <w:spacing w:after="80"/>
      </w:pPr>
      <w:r>
        <w:rPr>
          <w:sz w:val="22"/>
          <w:szCs w:val="22"/>
        </w:rPr>
        <w:t xml:space="preserve">Solana: AKbyFYEgueHwS7V4S3gXsWpGJZvv3f7WMkRMFdrenSG1</w:t>
      </w:r>
    </w:p>
    <w:p>
      <w:pPr>
        <w:pStyle w:val="ListParagraph"/>
        <w:numPr>
          <w:ilvl w:val="0"/>
          <w:numId w:val="2"/>
        </w:numPr>
        <w:spacing w:after="80"/>
      </w:pPr>
      <w:r>
        <w:rPr>
          <w:sz w:val="22"/>
          <w:szCs w:val="22"/>
        </w:rPr>
        <w:t xml:space="preserve">Redbelly Network (native chain): 0x6ed1F491e2d31536D6561f6bdB2AdC8F092a6076</w:t>
      </w:r>
    </w:p>
    <w:p>
      <w:pPr>
        <w:spacing w:after="160"/>
      </w:pPr>
      <w:r>
        <w:rPr>
          <w:b w:val="false"/>
          <w:bCs w:val="false"/>
          <w:i w:val="false"/>
          <w:iCs w:val="false"/>
          <w:sz w:val="22"/>
          <w:szCs w:val="22"/>
        </w:rPr>
        <w:t xml:space="preserve">If your held token's address does not match any of these, you are holding a different, unverified contract. This is the single most common cause of a token showing zero value: the wallet added the wrong contract, usually by pasting an address from a search result or a third party tracker instead of Redbelly's own announcement. Remove the wrong token from your wallet and re add it using the correct address above. Do not attempt to swap an unverified token, there is no guarantee it holds any real liquidity or that it represents actual wrapped RBNT.</w:t>
      </w:r>
    </w:p>
    <w:p>
      <w:pPr>
        <w:spacing w:after="160"/>
      </w:pPr>
      <w:r>
        <w:rPr>
          <w:b w:val="false"/>
          <w:bCs w:val="false"/>
          <w:i w:val="false"/>
          <w:iCs w:val="false"/>
          <w:sz w:val="22"/>
          <w:szCs w:val="22"/>
        </w:rPr>
        <w:t xml:space="preserve">If your address matches, your token is genuine. The zero value display or swap failure is a liquidity problem, not a wrong token problem. Continue to Step 2.</w:t>
      </w:r>
    </w:p>
    <w:p>
      <w:pPr>
        <w:pStyle w:val="Heading3"/>
        <w:spacing w:after="100" w:before="200"/>
      </w:pPr>
      <w:r>
        <w:rPr>
          <w:b/>
          <w:bCs/>
        </w:rPr>
        <w:t xml:space="preserve">Step 2. Check pool depth before you swap, not after</w:t>
      </w:r>
    </w:p>
    <w:p>
      <w:pPr>
        <w:spacing w:after="160"/>
      </w:pPr>
      <w:r>
        <w:rPr>
          <w:b w:val="false"/>
          <w:bCs w:val="false"/>
          <w:i w:val="false"/>
          <w:iCs w:val="false"/>
          <w:sz w:val="22"/>
          <w:szCs w:val="22"/>
        </w:rPr>
        <w:t xml:space="preserve">Every wrapped RBNT pool currently has limited depth, and a swap that looks like it failed is often a swap that simply returned an unusably small amount because of price impact, not an error.</w:t>
      </w:r>
    </w:p>
    <w:p>
      <w:pPr>
        <w:spacing w:after="160"/>
      </w:pPr>
      <w:r>
        <w:rPr>
          <w:b w:val="false"/>
          <w:bCs w:val="false"/>
          <w:i w:val="false"/>
          <w:iCs w:val="false"/>
          <w:sz w:val="22"/>
          <w:szCs w:val="22"/>
        </w:rPr>
        <w:t xml:space="preserve">On Ethereum, the WRBNT to WETH pool holds roughly $33,000 in liquidity. A swap of 100,000 WRBNT already shows a price impact between 1.5% and 2.9% depending on the aggregator used. At 1,000,000 WRBNT, price impact climbs to 13% to 14%. If your swap amount is anywhere near this range, a large expected loss on the quote is the pool telling you the truth about its depth, not a broken swap.</w:t>
      </w:r>
    </w:p>
    <w:p>
      <w:pPr>
        <w:spacing w:after="160"/>
      </w:pPr>
      <w:r>
        <w:rPr>
          <w:b w:val="false"/>
          <w:bCs w:val="false"/>
          <w:i w:val="false"/>
          <w:iCs w:val="false"/>
          <w:sz w:val="22"/>
          <w:szCs w:val="22"/>
        </w:rPr>
        <w:t xml:space="preserve">On Solana, the wRBNT to SOL pool on Raydium is thin enough that a swap of just 10,000 WRBNT showed 86.77% price impact when checked. Treat this pool as effectively unusable for any swap beyond a very small test amount right now.</w:t>
      </w:r>
    </w:p>
    <w:p>
      <w:pPr>
        <w:spacing w:after="160"/>
      </w:pPr>
      <w:r>
        <w:rPr>
          <w:b w:val="false"/>
          <w:bCs w:val="false"/>
          <w:i w:val="false"/>
          <w:iCs w:val="false"/>
          <w:sz w:val="22"/>
          <w:szCs w:val="22"/>
        </w:rPr>
        <w:t xml:space="preserve">On Base, liquidity is currently deeper than Ethereum at matched swap sizes. A swap of 1,000,000 RBNT showed price impact between 7.9% and 8.0% across two different aggregators, and a smaller 100,000 RBNT swap on a separate widget showed 13.4%, meaning route quality varies meaningfully by aggregator even on the same chain. Confirm you are swapping the correct Base contract address before relying on any of these numbers, since Base has no dedicated official liquidity announcement from Redbelly and other unconfirmed addresses circulate under the same name.</w:t>
      </w:r>
    </w:p>
    <w:p>
      <w:pPr>
        <w:pStyle w:val="Heading3"/>
        <w:spacing w:after="100" w:before="200"/>
      </w:pPr>
      <w:r>
        <w:rPr>
          <w:b/>
          <w:bCs/>
        </w:rPr>
        <w:t xml:space="preserve">What to do about it</w:t>
      </w:r>
    </w:p>
    <w:p>
      <w:pPr>
        <w:pStyle w:val="ListParagraph"/>
        <w:numPr>
          <w:ilvl w:val="0"/>
          <w:numId w:val="4"/>
        </w:numPr>
        <w:spacing w:after="80"/>
      </w:pPr>
      <w:r>
        <w:rPr>
          <w:sz w:val="22"/>
          <w:szCs w:val="22"/>
        </w:rPr>
        <w:t xml:space="preserve">Reduce your swap size significantly and check the quote again before assuming something is broken.</w:t>
      </w:r>
    </w:p>
    <w:p>
      <w:pPr>
        <w:pStyle w:val="ListParagraph"/>
        <w:numPr>
          <w:ilvl w:val="0"/>
          <w:numId w:val="4"/>
        </w:numPr>
        <w:spacing w:after="80"/>
      </w:pPr>
      <w:r>
        <w:rPr>
          <w:sz w:val="22"/>
          <w:szCs w:val="22"/>
        </w:rPr>
        <w:t xml:space="preserve">Try more than one aggregator. Route quality differs even for the same token pair on the same chain, as shown by the Base numbers above.</w:t>
      </w:r>
    </w:p>
    <w:p>
      <w:pPr>
        <w:pStyle w:val="ListParagraph"/>
        <w:numPr>
          <w:ilvl w:val="0"/>
          <w:numId w:val="4"/>
        </w:numPr>
        <w:spacing w:after="80"/>
      </w:pPr>
      <w:r>
        <w:rPr>
          <w:sz w:val="22"/>
          <w:szCs w:val="22"/>
        </w:rPr>
        <w:t xml:space="preserve">If you must move a large amount, consider splitting it into several smaller swaps rather than one large swap that absorbs the full price impact at once.</w:t>
      </w:r>
    </w:p>
    <w:p>
      <w:pPr>
        <w:pStyle w:val="ListParagraph"/>
        <w:numPr>
          <w:ilvl w:val="0"/>
          <w:numId w:val="4"/>
        </w:numPr>
        <w:spacing w:after="80"/>
      </w:pPr>
      <w:r>
        <w:rPr>
          <w:sz w:val="22"/>
          <w:szCs w:val="22"/>
        </w:rPr>
        <w:t xml:space="preserve">Do not add extra slippage tolerance to force a failing swap through. A swap that fails due to slippage protection is protecting you from an even worse price impact than the quote already showed.</w:t>
      </w:r>
    </w:p>
    <w:p>
      <w:pPr>
        <w:pStyle w:val="Heading3"/>
        <w:spacing w:after="100" w:before="200"/>
      </w:pPr>
      <w:r>
        <w:rPr>
          <w:b/>
          <w:bCs/>
        </w:rPr>
        <w:t xml:space="preserve">Step 3. If the swap still will not go through</w:t>
      </w:r>
    </w:p>
    <w:p>
      <w:pPr>
        <w:spacing w:after="160"/>
      </w:pPr>
      <w:r>
        <w:rPr>
          <w:b w:val="false"/>
          <w:bCs w:val="false"/>
          <w:i w:val="false"/>
          <w:iCs w:val="false"/>
          <w:sz w:val="22"/>
          <w:szCs w:val="22"/>
        </w:rPr>
        <w:t xml:space="preserve">If you have confirmed the correct contract address and reduced your swap size, and the transaction still reverts, the remaining causes are ordinary Ethereum, Solana, or Base transaction issues, not anything specific to wrapped RBNT: insufficient gas, an expired quote, or a slippage tolerance set too tight for current pool conditions. Refresh the quote immediately before confirming, since price impact can shift between the time you open the swap screen and the time you sign.</w:t>
      </w:r>
    </w:p>
    <w:p>
      <w:pPr>
        <w:spacing w:after="160"/>
      </w:pPr>
      <w:r>
        <w:rPr>
          <w:b w:val="false"/>
          <w:bCs w:val="false"/>
          <w:i w:val="false"/>
          <w:iCs w:val="false"/>
          <w:sz w:val="22"/>
          <w:szCs w:val="22"/>
        </w:rPr>
        <w:t xml:space="preserve">If none of this resolves it, the most likely explanation is that the pool simply cannot support your swap size at any reasonable price impact. This is not a recoverable fix, it is a liquidity constraint. Waiting for deeper liquidity, or using a much smaller amount, are the only real options.</w:t>
      </w:r>
    </w:p>
    <w:p>
      <w:r>
        <w:br w:type="page"/>
      </w:r>
    </w:p>
    <w:p>
      <w:pPr>
        <w:pStyle w:val="Heading1"/>
        <w:spacing w:after="200" w:before="400"/>
      </w:pPr>
      <w:r>
        <w:rPr>
          <w:b/>
          <w:bCs/>
          <w:color w:val="1F2937"/>
        </w:rPr>
        <w:t xml:space="preserve">Part 4. Failure Mode 2: Quote Unavailable Bridging RBNT Back to Redbelly Network</w:t>
      </w:r>
    </w:p>
    <w:p>
      <w:pPr>
        <w:pBdr>
          <w:left w:val="single" w:color="B23A2F" w:sz="24" w:space="8"/>
        </w:pBdr>
        <w:shd w:fill="F3F1EA" w:val="clear"/>
        <w:spacing w:after="220" w:before="120"/>
        <w:ind w:left="200"/>
      </w:pPr>
      <w:r>
        <w:rPr>
          <w:b/>
          <w:bCs/>
          <w:sz w:val="22"/>
          <w:szCs w:val="22"/>
        </w:rPr>
        <w:t xml:space="preserve">If you are trying to bridge RBNT or WRBNT from another chain back to Redbelly Network and cannot get a quote, this is almost always a route availability problem specific to your source chain, not a broken bridge.</w:t>
      </w:r>
    </w:p>
    <w:p>
      <w:pPr>
        <w:pStyle w:val="Heading3"/>
        <w:spacing w:after="100" w:before="200"/>
      </w:pPr>
      <w:r>
        <w:rPr>
          <w:b/>
          <w:bCs/>
        </w:rPr>
        <w:t xml:space="preserve">The bridge to use</w:t>
      </w:r>
    </w:p>
    <w:p>
      <w:pPr>
        <w:spacing w:after="160"/>
      </w:pPr>
      <w:r>
        <w:rPr>
          <w:b w:val="false"/>
          <w:bCs w:val="false"/>
          <w:i w:val="false"/>
          <w:iCs w:val="false"/>
          <w:sz w:val="22"/>
          <w:szCs w:val="22"/>
        </w:rPr>
        <w:t xml:space="preserve">Redbelly's own developer docs (vine.redbelly.network/native-currency) name Lucid Labs Bridge, at bridge.lucidlabs.fi, as the official route for bringing RBNT from a non Redbelly chain back to Redbelly Network. Do not use a different bridge for this direction, even if one appears to work, since it will not be the officially referenced path.</w:t>
      </w:r>
    </w:p>
    <w:p>
      <w:pPr>
        <w:pStyle w:val="Heading3"/>
        <w:spacing w:after="100" w:before="200"/>
      </w:pPr>
      <w:r>
        <w:rPr>
          <w:b/>
          <w:bCs/>
        </w:rPr>
        <w:t xml:space="preserve">Screen by screen</w:t>
      </w:r>
    </w:p>
    <w:p>
      <w:pPr>
        <w:spacing w:after="160"/>
      </w:pPr>
      <w:r>
        <w:rPr>
          <w:b w:val="false"/>
          <w:bCs w:val="false"/>
          <w:i w:val="false"/>
          <w:iCs w:val="false"/>
          <w:sz w:val="22"/>
          <w:szCs w:val="22"/>
        </w:rPr>
        <w:t xml:space="preserve">Confirmed screen by screen against Lucid Labs Bridge, checked live August 2026, evidence on file.</w:t>
      </w:r>
    </w:p>
    <w:p>
      <w:pPr>
        <w:pStyle w:val="ListParagraph"/>
        <w:numPr>
          <w:ilvl w:val="0"/>
          <w:numId w:val="10"/>
        </w:numPr>
        <w:spacing w:after="80"/>
      </w:pPr>
      <w:r>
        <w:rPr>
          <w:sz w:val="22"/>
          <w:szCs w:val="22"/>
        </w:rPr>
        <w:t xml:space="preserve">Open bridge.lucidlabs.fi. Before connecting, the page shows Source Token and Destination Token both set to Select Token, a Receiver Address toggle set to Receive to the same address, and a bottom button reading Connect Wallet to Continue.</w:t>
      </w:r>
    </w:p>
    <w:p>
      <w:pPr>
        <w:pStyle w:val="ListParagraph"/>
        <w:numPr>
          <w:ilvl w:val="0"/>
          <w:numId w:val="10"/>
        </w:numPr>
        <w:spacing w:after="80"/>
      </w:pPr>
      <w:r>
        <w:rPr>
          <w:sz w:val="22"/>
          <w:szCs w:val="22"/>
        </w:rPr>
        <w:t xml:space="preserve">Click Connect Wallet. A panel titled Wallets, Connect EVM and Solana wallets opens, grouped by EVM Wallets (MetaMask, Rabby Wallet, WalletConnect, Coinbase Wallet), Solana Wallets (Phantom), and Tron Wallets (TronLink), each marked Installed if detected in your browser.</w:t>
      </w:r>
    </w:p>
    <w:p>
      <w:pPr>
        <w:pStyle w:val="ListParagraph"/>
        <w:numPr>
          <w:ilvl w:val="0"/>
          <w:numId w:val="10"/>
        </w:numPr>
        <w:spacing w:after="80"/>
      </w:pPr>
      <w:r>
        <w:rPr>
          <w:sz w:val="22"/>
          <w:szCs w:val="22"/>
        </w:rPr>
        <w:t xml:space="preserve">Pick a wallet and approve the connection request in its extension popup.</w:t>
      </w:r>
    </w:p>
    <w:p>
      <w:pPr>
        <w:pStyle w:val="ListParagraph"/>
        <w:numPr>
          <w:ilvl w:val="0"/>
          <w:numId w:val="10"/>
        </w:numPr>
        <w:spacing w:after="80"/>
      </w:pPr>
      <w:r>
        <w:rPr>
          <w:sz w:val="22"/>
          <w:szCs w:val="22"/>
        </w:rPr>
        <w:t xml:space="preserve">The top right of the page now shows your truncated address instead of Connect Wallet. If your wallet's active network does not match what you need, the bottom button changes to Switch to (chain name), click it and approve the switch in your wallet.</w:t>
      </w:r>
    </w:p>
    <w:p>
      <w:pPr>
        <w:pStyle w:val="ListParagraph"/>
        <w:numPr>
          <w:ilvl w:val="0"/>
          <w:numId w:val="10"/>
        </w:numPr>
        <w:spacing w:after="80"/>
      </w:pPr>
      <w:r>
        <w:rPr>
          <w:sz w:val="22"/>
          <w:szCs w:val="22"/>
        </w:rPr>
        <w:t xml:space="preserve">Click Select Token under Source Token, choose RBNT, and confirm it is on the chain your funds are actually on.</w:t>
      </w:r>
    </w:p>
    <w:p>
      <w:pPr>
        <w:pStyle w:val="ListParagraph"/>
        <w:numPr>
          <w:ilvl w:val="0"/>
          <w:numId w:val="10"/>
        </w:numPr>
        <w:spacing w:after="80"/>
      </w:pPr>
      <w:r>
        <w:rPr>
          <w:sz w:val="22"/>
          <w:szCs w:val="22"/>
        </w:rPr>
        <w:t xml:space="preserve">Destination Token becomes RBNT on Redbelly Network automatically once Redbelly Network is set as the destination.</w:t>
      </w:r>
    </w:p>
    <w:p>
      <w:pPr>
        <w:pStyle w:val="ListParagraph"/>
        <w:numPr>
          <w:ilvl w:val="0"/>
          <w:numId w:val="10"/>
        </w:numPr>
        <w:spacing w:after="80"/>
      </w:pPr>
      <w:r>
        <w:rPr>
          <w:sz w:val="22"/>
          <w:szCs w:val="22"/>
        </w:rPr>
        <w:t xml:space="preserve">Leave Receive to the same address on unless you specifically need a different receiving wallet.</w:t>
      </w:r>
    </w:p>
    <w:p>
      <w:pPr>
        <w:pStyle w:val="ListParagraph"/>
        <w:numPr>
          <w:ilvl w:val="0"/>
          <w:numId w:val="10"/>
        </w:numPr>
        <w:spacing w:after="80"/>
      </w:pPr>
      <w:r>
        <w:rPr>
          <w:sz w:val="22"/>
          <w:szCs w:val="22"/>
        </w:rPr>
        <w:t xml:space="preserve">A Recommended Bridge panel appears showing the bridge name (Stargate for RBNT, Polymer for WRBNT), a Fee in the source chain's gas token with a USD estimate, and a Time estimate. Click Advanced to see the Relayer Fee broken out separately.</w:t>
      </w:r>
    </w:p>
    <w:p>
      <w:pPr>
        <w:pStyle w:val="ListParagraph"/>
        <w:numPr>
          <w:ilvl w:val="0"/>
          <w:numId w:val="10"/>
        </w:numPr>
        <w:spacing w:after="80"/>
      </w:pPr>
      <w:r>
        <w:rPr>
          <w:sz w:val="22"/>
          <w:szCs w:val="22"/>
        </w:rPr>
        <w:t xml:space="preserve">Click Bridge, the full width button at the bottom, and confirm in your wallet. This is the point where funds actually move, everything before this step costs nothing to look at.</w:t>
      </w:r>
    </w:p>
    <w:p>
      <w:pPr>
        <w:pStyle w:val="ListParagraph"/>
        <w:numPr>
          <w:ilvl w:val="0"/>
          <w:numId w:val="10"/>
        </w:numPr>
        <w:spacing w:after="80"/>
      </w:pPr>
      <w:r>
        <w:rPr>
          <w:sz w:val="22"/>
          <w:szCs w:val="22"/>
        </w:rPr>
        <w:t xml:space="preserve">Success looks like your balance increasing on Redbelly Network. Check redbelly.routescan.io with your wallet address if the bridge interface itself does not show a clear confirmation screen.</w:t>
      </w:r>
    </w:p>
    <w:p>
      <w:pPr>
        <w:spacing w:after="160"/>
      </w:pPr>
      <w:r>
        <w:rPr>
          <w:b w:val="false"/>
          <w:bCs w:val="false"/>
          <w:i w:val="false"/>
          <w:iCs w:val="false"/>
          <w:sz w:val="22"/>
          <w:szCs w:val="22"/>
        </w:rPr>
        <w:t xml:space="preserve">If you select Solana as the source without a Solana wallet connected, the bottom button changes to Connect Solana instead of Switch to (chain), and Recommended Bridge shows No route found for selected parameters. That is the two hop situation covered later in this part, not a bug.</w:t>
      </w:r>
    </w:p>
    <w:p>
      <w:pPr>
        <w:pStyle w:val="Heading3"/>
        <w:spacing w:after="100" w:before="200"/>
      </w:pPr>
      <w:r>
        <w:rPr>
          <w:b/>
          <w:bCs/>
        </w:rPr>
        <w:t xml:space="preserve">Using Oku instead</w:t>
      </w:r>
    </w:p>
    <w:p>
      <w:pPr>
        <w:spacing w:after="160"/>
      </w:pPr>
      <w:r>
        <w:rPr>
          <w:b w:val="false"/>
          <w:bCs w:val="false"/>
          <w:i w:val="false"/>
          <w:iCs w:val="false"/>
          <w:sz w:val="22"/>
          <w:szCs w:val="22"/>
        </w:rPr>
        <w:t xml:space="preserve">Oku (oku.trade) is a separate frontend for the same LayerZero route and returned matching fees and times when checked. Connect Wallet in the top right opens your browser wallet's approval popup directly. On the Swap screen, the Sell panel is your source (RBNT plus source chain, with 25%, 50%, 75%, and Max quick-select buttons), the Buy panel is the destination (RBNT on Redbelly Network), and a Routes panel on the right shows the quote, for example 0.9998 RBNT via Layerzero in 4 min, tagged Fastest, with the fee shown in USD.</w:t>
      </w:r>
    </w:p>
    <w:p>
      <w:pPr>
        <w:pStyle w:val="Heading3"/>
        <w:spacing w:after="100" w:before="200"/>
      </w:pPr>
      <w:r>
        <w:rPr>
          <w:b/>
          <w:bCs/>
        </w:rPr>
        <w:t xml:space="preserve">Verified routes by source chain</w:t>
      </w:r>
    </w:p>
    <w:p>
      <w:pPr>
        <w:spacing w:after="160"/>
      </w:pPr>
      <w:r>
        <w:rPr>
          <w:b w:val="false"/>
          <w:bCs w:val="false"/>
          <w:i w:val="false"/>
          <w:iCs w:val="false"/>
          <w:sz w:val="22"/>
          <w:szCs w:val="22"/>
        </w:rPr>
        <w:t xml:space="preserve">Checked live, August 2026, on both Lucid Labs Bridge and Oku, a separate frontend for the same underlying LayerZero route, fee and time matched closely on both. Seven EVM chains return a working quote for RBNT: Ethereum, Base, BSC, Arbitrum, Polygon, Avalanche, and Sonic. Solana does not return a quote on the single bridge widget, that has a separate two hop route, covered below the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2560"/>
        <w:gridCol w:w="2600"/>
        <w:gridCol w:w="1600"/>
      </w:tblGrid>
      <w:tr>
        <w:trPr>
          <w:tblHeader/>
        </w:trPr>
        <w:tc>
          <w:tcPr>
            <w:tcW w:type="dxa" w:w="1400"/>
            <w:shd w:fill="1F2937" w:val="clear"/>
            <w:tcMar>
              <w:top w:type="dxa" w:w="100"/>
              <w:left w:type="dxa" w:w="120"/>
              <w:bottom w:type="dxa" w:w="100"/>
              <w:right w:type="dxa" w:w="120"/>
            </w:tcMar>
          </w:tcPr>
          <w:p>
            <w:r>
              <w:rPr>
                <w:rFonts w:ascii="Calibri" w:cs="Calibri" w:eastAsia="Calibri" w:hAnsi="Calibri"/>
                <w:b/>
                <w:bCs/>
                <w:color w:val="FFFFFF"/>
                <w:sz w:val="19"/>
                <w:szCs w:val="19"/>
              </w:rPr>
              <w:t xml:space="preserve">Source Chain</w:t>
            </w:r>
          </w:p>
        </w:tc>
        <w:tc>
          <w:tcPr>
            <w:tcW w:type="dxa" w:w="1200"/>
            <w:shd w:fill="1F2937" w:val="clear"/>
            <w:tcMar>
              <w:top w:type="dxa" w:w="100"/>
              <w:left w:type="dxa" w:w="120"/>
              <w:bottom w:type="dxa" w:w="100"/>
              <w:right w:type="dxa" w:w="120"/>
            </w:tcMar>
          </w:tcPr>
          <w:p>
            <w:r>
              <w:rPr>
                <w:rFonts w:ascii="Calibri" w:cs="Calibri" w:eastAsia="Calibri" w:hAnsi="Calibri"/>
                <w:b/>
                <w:bCs/>
                <w:color w:val="FFFFFF"/>
                <w:sz w:val="19"/>
                <w:szCs w:val="19"/>
              </w:rPr>
              <w:t xml:space="preserve">Asset</w:t>
            </w:r>
          </w:p>
        </w:tc>
        <w:tc>
          <w:tcPr>
            <w:tcW w:type="dxa" w:w="2560"/>
            <w:shd w:fill="1F2937" w:val="clear"/>
            <w:tcMar>
              <w:top w:type="dxa" w:w="100"/>
              <w:left w:type="dxa" w:w="120"/>
              <w:bottom w:type="dxa" w:w="100"/>
              <w:right w:type="dxa" w:w="120"/>
            </w:tcMar>
          </w:tcPr>
          <w:p>
            <w:r>
              <w:rPr>
                <w:rFonts w:ascii="Calibri" w:cs="Calibri" w:eastAsia="Calibri" w:hAnsi="Calibri"/>
                <w:b/>
                <w:bCs/>
                <w:color w:val="FFFFFF"/>
                <w:sz w:val="19"/>
                <w:szCs w:val="19"/>
              </w:rPr>
              <w:t xml:space="preserve">Underlying Route</w:t>
            </w:r>
          </w:p>
        </w:tc>
        <w:tc>
          <w:tcPr>
            <w:tcW w:type="dxa" w:w="2600"/>
            <w:shd w:fill="1F2937" w:val="clear"/>
            <w:tcMar>
              <w:top w:type="dxa" w:w="100"/>
              <w:left w:type="dxa" w:w="120"/>
              <w:bottom w:type="dxa" w:w="100"/>
              <w:right w:type="dxa" w:w="120"/>
            </w:tcMar>
          </w:tcPr>
          <w:p>
            <w:r>
              <w:rPr>
                <w:rFonts w:ascii="Calibri" w:cs="Calibri" w:eastAsia="Calibri" w:hAnsi="Calibri"/>
                <w:b/>
                <w:bCs/>
                <w:color w:val="FFFFFF"/>
                <w:sz w:val="19"/>
                <w:szCs w:val="19"/>
              </w:rPr>
              <w:t xml:space="preserve">Fee</w:t>
            </w:r>
          </w:p>
        </w:tc>
        <w:tc>
          <w:tcPr>
            <w:tcW w:type="dxa" w:w="1600"/>
            <w:shd w:fill="1F2937" w:val="clear"/>
            <w:tcMar>
              <w:top w:type="dxa" w:w="100"/>
              <w:left w:type="dxa" w:w="120"/>
              <w:bottom w:type="dxa" w:w="100"/>
              <w:right w:type="dxa" w:w="120"/>
            </w:tcMar>
          </w:tcPr>
          <w:p>
            <w:r>
              <w:rPr>
                <w:rFonts w:ascii="Calibri" w:cs="Calibri" w:eastAsia="Calibri" w:hAnsi="Calibri"/>
                <w:b/>
                <w:bCs/>
                <w:color w:val="FFFFFF"/>
                <w:sz w:val="19"/>
                <w:szCs w:val="19"/>
              </w:rPr>
              <w:t xml:space="preserve">Time</w:t>
            </w:r>
          </w:p>
        </w:tc>
      </w:tr>
      <w:tr>
        <w:tc>
          <w:tcPr>
            <w:tcW w:type="dxa" w:w="1400"/>
            <w:tcMar>
              <w:top w:type="dxa" w:w="100"/>
              <w:left w:type="dxa" w:w="120"/>
              <w:bottom w:type="dxa" w:w="100"/>
              <w:right w:type="dxa" w:w="120"/>
            </w:tcMar>
          </w:tcPr>
          <w:p>
            <w:r>
              <w:rPr>
                <w:rFonts w:ascii="Calibri" w:cs="Calibri" w:eastAsia="Calibri" w:hAnsi="Calibri"/>
                <w:b w:val="false"/>
                <w:bCs w:val="false"/>
                <w:sz w:val="20"/>
                <w:szCs w:val="20"/>
              </w:rPr>
              <w:t xml:space="preserve">Ethereum</w:t>
            </w:r>
          </w:p>
        </w:tc>
        <w:tc>
          <w:tcPr>
            <w:tcW w:type="dxa" w:w="1200"/>
            <w:tcMar>
              <w:top w:type="dxa" w:w="100"/>
              <w:left w:type="dxa" w:w="120"/>
              <w:bottom w:type="dxa" w:w="100"/>
              <w:right w:type="dxa" w:w="120"/>
            </w:tcMar>
          </w:tcPr>
          <w:p>
            <w:r>
              <w:rPr>
                <w:rFonts w:ascii="Calibri" w:cs="Calibri" w:eastAsia="Calibri" w:hAnsi="Calibri"/>
                <w:b w:val="false"/>
                <w:bCs w:val="false"/>
                <w:sz w:val="20"/>
                <w:szCs w:val="20"/>
              </w:rPr>
              <w:t xml:space="preserve">RBNT</w:t>
            </w:r>
          </w:p>
        </w:tc>
        <w:tc>
          <w:tcPr>
            <w:tcW w:type="dxa" w:w="2560"/>
            <w:tcMar>
              <w:top w:type="dxa" w:w="100"/>
              <w:left w:type="dxa" w:w="120"/>
              <w:bottom w:type="dxa" w:w="100"/>
              <w:right w:type="dxa" w:w="120"/>
            </w:tcMar>
          </w:tcPr>
          <w:p>
            <w:r>
              <w:rPr>
                <w:rFonts w:ascii="Calibri" w:cs="Calibri" w:eastAsia="Calibri" w:hAnsi="Calibri"/>
                <w:b w:val="false"/>
                <w:bCs w:val="false"/>
                <w:sz w:val="20"/>
                <w:szCs w:val="20"/>
              </w:rPr>
              <w:t xml:space="preserve">Stargate, via Lucid Labs Bridge</w:t>
            </w:r>
          </w:p>
        </w:tc>
        <w:tc>
          <w:tcPr>
            <w:tcW w:type="dxa" w:w="2600"/>
            <w:tcMar>
              <w:top w:type="dxa" w:w="100"/>
              <w:left w:type="dxa" w:w="120"/>
              <w:bottom w:type="dxa" w:w="100"/>
              <w:right w:type="dxa" w:w="120"/>
            </w:tcMar>
          </w:tcPr>
          <w:p>
            <w:r>
              <w:rPr>
                <w:rFonts w:ascii="Calibri" w:cs="Calibri" w:eastAsia="Calibri" w:hAnsi="Calibri"/>
                <w:b w:val="false"/>
                <w:bCs w:val="false"/>
                <w:sz w:val="20"/>
                <w:szCs w:val="20"/>
              </w:rPr>
              <w:t xml:space="preserve">0.00013 ETH (~$0.31)</w:t>
            </w:r>
          </w:p>
        </w:tc>
        <w:tc>
          <w:tcPr>
            <w:tcW w:type="dxa" w:w="1600"/>
            <w:tcMar>
              <w:top w:type="dxa" w:w="100"/>
              <w:left w:type="dxa" w:w="120"/>
              <w:bottom w:type="dxa" w:w="100"/>
              <w:right w:type="dxa" w:w="120"/>
            </w:tcMar>
          </w:tcPr>
          <w:p>
            <w:r>
              <w:rPr>
                <w:rFonts w:ascii="Calibri" w:cs="Calibri" w:eastAsia="Calibri" w:hAnsi="Calibri"/>
                <w:b w:val="false"/>
                <w:bCs w:val="false"/>
                <w:sz w:val="20"/>
                <w:szCs w:val="20"/>
              </w:rPr>
              <w:t xml:space="preserve">About 4 min</w:t>
            </w:r>
          </w:p>
        </w:tc>
      </w:tr>
      <w:tr>
        <w:tc>
          <w:tcPr>
            <w:tcW w:type="dxa" w:w="1400"/>
            <w:shd w:fill="F3F1EA" w:val="clear"/>
            <w:tcMar>
              <w:top w:type="dxa" w:w="100"/>
              <w:left w:type="dxa" w:w="120"/>
              <w:bottom w:type="dxa" w:w="100"/>
              <w:right w:type="dxa" w:w="120"/>
            </w:tcMar>
          </w:tcPr>
          <w:p>
            <w:r>
              <w:rPr>
                <w:rFonts w:ascii="Calibri" w:cs="Calibri" w:eastAsia="Calibri" w:hAnsi="Calibri"/>
                <w:b w:val="false"/>
                <w:bCs w:val="false"/>
                <w:sz w:val="20"/>
                <w:szCs w:val="20"/>
              </w:rPr>
              <w:t xml:space="preserve">Ethereum</w:t>
            </w:r>
          </w:p>
        </w:tc>
        <w:tc>
          <w:tcPr>
            <w:tcW w:type="dxa" w:w="1200"/>
            <w:shd w:fill="F3F1EA" w:val="clear"/>
            <w:tcMar>
              <w:top w:type="dxa" w:w="100"/>
              <w:left w:type="dxa" w:w="120"/>
              <w:bottom w:type="dxa" w:w="100"/>
              <w:right w:type="dxa" w:w="120"/>
            </w:tcMar>
          </w:tcPr>
          <w:p>
            <w:r>
              <w:rPr>
                <w:rFonts w:ascii="Calibri" w:cs="Calibri" w:eastAsia="Calibri" w:hAnsi="Calibri"/>
                <w:b w:val="false"/>
                <w:bCs w:val="false"/>
                <w:sz w:val="20"/>
                <w:szCs w:val="20"/>
              </w:rPr>
              <w:t xml:space="preserve">WRBNT</w:t>
            </w:r>
          </w:p>
        </w:tc>
        <w:tc>
          <w:tcPr>
            <w:tcW w:type="dxa" w:w="2560"/>
            <w:shd w:fill="F3F1EA" w:val="clear"/>
            <w:tcMar>
              <w:top w:type="dxa" w:w="100"/>
              <w:left w:type="dxa" w:w="120"/>
              <w:bottom w:type="dxa" w:w="100"/>
              <w:right w:type="dxa" w:w="120"/>
            </w:tcMar>
          </w:tcPr>
          <w:p>
            <w:r>
              <w:rPr>
                <w:rFonts w:ascii="Calibri" w:cs="Calibri" w:eastAsia="Calibri" w:hAnsi="Calibri"/>
                <w:b w:val="false"/>
                <w:bCs w:val="false"/>
                <w:sz w:val="20"/>
                <w:szCs w:val="20"/>
              </w:rPr>
              <w:t xml:space="preserve">Polymer, via Lucid Labs Bridge</w:t>
            </w:r>
          </w:p>
        </w:tc>
        <w:tc>
          <w:tcPr>
            <w:tcW w:type="dxa" w:w="2600"/>
            <w:shd w:fill="F3F1EA" w:val="clear"/>
            <w:tcMar>
              <w:top w:type="dxa" w:w="100"/>
              <w:left w:type="dxa" w:w="120"/>
              <w:bottom w:type="dxa" w:w="100"/>
              <w:right w:type="dxa" w:w="120"/>
            </w:tcMar>
          </w:tcPr>
          <w:p>
            <w:r>
              <w:rPr>
                <w:rFonts w:ascii="Calibri" w:cs="Calibri" w:eastAsia="Calibri" w:hAnsi="Calibri"/>
                <w:b w:val="false"/>
                <w:bCs w:val="false"/>
                <w:sz w:val="20"/>
                <w:szCs w:val="20"/>
              </w:rPr>
              <w:t xml:space="preserve">0.000015 ETH plus 10 WRBNT protocol fee</w:t>
            </w:r>
          </w:p>
        </w:tc>
        <w:tc>
          <w:tcPr>
            <w:tcW w:type="dxa" w:w="1600"/>
            <w:shd w:fill="F3F1EA" w:val="clear"/>
            <w:tcMar>
              <w:top w:type="dxa" w:w="100"/>
              <w:left w:type="dxa" w:w="120"/>
              <w:bottom w:type="dxa" w:w="100"/>
              <w:right w:type="dxa" w:w="120"/>
            </w:tcMar>
          </w:tcPr>
          <w:p>
            <w:r>
              <w:rPr>
                <w:rFonts w:ascii="Calibri" w:cs="Calibri" w:eastAsia="Calibri" w:hAnsi="Calibri"/>
                <w:b w:val="false"/>
                <w:bCs w:val="false"/>
                <w:sz w:val="20"/>
                <w:szCs w:val="20"/>
              </w:rPr>
              <w:t xml:space="preserve">About 2 min</w:t>
            </w:r>
          </w:p>
        </w:tc>
      </w:tr>
      <w:tr>
        <w:tc>
          <w:tcPr>
            <w:tcW w:type="dxa" w:w="1400"/>
            <w:tcMar>
              <w:top w:type="dxa" w:w="100"/>
              <w:left w:type="dxa" w:w="120"/>
              <w:bottom w:type="dxa" w:w="100"/>
              <w:right w:type="dxa" w:w="120"/>
            </w:tcMar>
          </w:tcPr>
          <w:p>
            <w:r>
              <w:rPr>
                <w:rFonts w:ascii="Calibri" w:cs="Calibri" w:eastAsia="Calibri" w:hAnsi="Calibri"/>
                <w:b w:val="false"/>
                <w:bCs w:val="false"/>
                <w:sz w:val="20"/>
                <w:szCs w:val="20"/>
              </w:rPr>
              <w:t xml:space="preserve">Base</w:t>
            </w:r>
          </w:p>
        </w:tc>
        <w:tc>
          <w:tcPr>
            <w:tcW w:type="dxa" w:w="1200"/>
            <w:tcMar>
              <w:top w:type="dxa" w:w="100"/>
              <w:left w:type="dxa" w:w="120"/>
              <w:bottom w:type="dxa" w:w="100"/>
              <w:right w:type="dxa" w:w="120"/>
            </w:tcMar>
          </w:tcPr>
          <w:p>
            <w:r>
              <w:rPr>
                <w:rFonts w:ascii="Calibri" w:cs="Calibri" w:eastAsia="Calibri" w:hAnsi="Calibri"/>
                <w:b w:val="false"/>
                <w:bCs w:val="false"/>
                <w:sz w:val="20"/>
                <w:szCs w:val="20"/>
              </w:rPr>
              <w:t xml:space="preserve">RBNT</w:t>
            </w:r>
          </w:p>
        </w:tc>
        <w:tc>
          <w:tcPr>
            <w:tcW w:type="dxa" w:w="2560"/>
            <w:tcMar>
              <w:top w:type="dxa" w:w="100"/>
              <w:left w:type="dxa" w:w="120"/>
              <w:bottom w:type="dxa" w:w="100"/>
              <w:right w:type="dxa" w:w="120"/>
            </w:tcMar>
          </w:tcPr>
          <w:p>
            <w:r>
              <w:rPr>
                <w:rFonts w:ascii="Calibri" w:cs="Calibri" w:eastAsia="Calibri" w:hAnsi="Calibri"/>
                <w:b w:val="false"/>
                <w:bCs w:val="false"/>
                <w:sz w:val="20"/>
                <w:szCs w:val="20"/>
              </w:rPr>
              <w:t xml:space="preserve">Stargate, via Lucid Labs Bridge</w:t>
            </w:r>
          </w:p>
        </w:tc>
        <w:tc>
          <w:tcPr>
            <w:tcW w:type="dxa" w:w="2600"/>
            <w:tcMar>
              <w:top w:type="dxa" w:w="100"/>
              <w:left w:type="dxa" w:w="120"/>
              <w:bottom w:type="dxa" w:w="100"/>
              <w:right w:type="dxa" w:w="120"/>
            </w:tcMar>
          </w:tcPr>
          <w:p>
            <w:r>
              <w:rPr>
                <w:rFonts w:ascii="Calibri" w:cs="Calibri" w:eastAsia="Calibri" w:hAnsi="Calibri"/>
                <w:b w:val="false"/>
                <w:bCs w:val="false"/>
                <w:sz w:val="20"/>
                <w:szCs w:val="20"/>
              </w:rPr>
              <w:t xml:space="preserve">0.00013 ETH (~$0.32)</w:t>
            </w:r>
          </w:p>
        </w:tc>
        <w:tc>
          <w:tcPr>
            <w:tcW w:type="dxa" w:w="1600"/>
            <w:tcMar>
              <w:top w:type="dxa" w:w="100"/>
              <w:left w:type="dxa" w:w="120"/>
              <w:bottom w:type="dxa" w:w="100"/>
              <w:right w:type="dxa" w:w="120"/>
            </w:tcMar>
          </w:tcPr>
          <w:p>
            <w:r>
              <w:rPr>
                <w:rFonts w:ascii="Calibri" w:cs="Calibri" w:eastAsia="Calibri" w:hAnsi="Calibri"/>
                <w:b w:val="false"/>
                <w:bCs w:val="false"/>
                <w:sz w:val="20"/>
                <w:szCs w:val="20"/>
              </w:rPr>
              <w:t xml:space="preserve">About 1 min</w:t>
            </w:r>
          </w:p>
        </w:tc>
      </w:tr>
      <w:tr>
        <w:tc>
          <w:tcPr>
            <w:tcW w:type="dxa" w:w="1400"/>
            <w:shd w:fill="F3F1EA" w:val="clear"/>
            <w:tcMar>
              <w:top w:type="dxa" w:w="100"/>
              <w:left w:type="dxa" w:w="120"/>
              <w:bottom w:type="dxa" w:w="100"/>
              <w:right w:type="dxa" w:w="120"/>
            </w:tcMar>
          </w:tcPr>
          <w:p>
            <w:r>
              <w:rPr>
                <w:rFonts w:ascii="Calibri" w:cs="Calibri" w:eastAsia="Calibri" w:hAnsi="Calibri"/>
                <w:b w:val="false"/>
                <w:bCs w:val="false"/>
                <w:sz w:val="20"/>
                <w:szCs w:val="20"/>
              </w:rPr>
              <w:t xml:space="preserve">Base</w:t>
            </w:r>
          </w:p>
        </w:tc>
        <w:tc>
          <w:tcPr>
            <w:tcW w:type="dxa" w:w="1200"/>
            <w:shd w:fill="F3F1EA" w:val="clear"/>
            <w:tcMar>
              <w:top w:type="dxa" w:w="100"/>
              <w:left w:type="dxa" w:w="120"/>
              <w:bottom w:type="dxa" w:w="100"/>
              <w:right w:type="dxa" w:w="120"/>
            </w:tcMar>
          </w:tcPr>
          <w:p>
            <w:r>
              <w:rPr>
                <w:rFonts w:ascii="Calibri" w:cs="Calibri" w:eastAsia="Calibri" w:hAnsi="Calibri"/>
                <w:b w:val="false"/>
                <w:bCs w:val="false"/>
                <w:sz w:val="20"/>
                <w:szCs w:val="20"/>
              </w:rPr>
              <w:t xml:space="preserve">WRBNT</w:t>
            </w:r>
          </w:p>
        </w:tc>
        <w:tc>
          <w:tcPr>
            <w:tcW w:type="dxa" w:w="2560"/>
            <w:shd w:fill="F3F1EA" w:val="clear"/>
            <w:tcMar>
              <w:top w:type="dxa" w:w="100"/>
              <w:left w:type="dxa" w:w="120"/>
              <w:bottom w:type="dxa" w:w="100"/>
              <w:right w:type="dxa" w:w="120"/>
            </w:tcMar>
          </w:tcPr>
          <w:p>
            <w:r>
              <w:rPr>
                <w:rFonts w:ascii="Calibri" w:cs="Calibri" w:eastAsia="Calibri" w:hAnsi="Calibri"/>
                <w:b w:val="false"/>
                <w:bCs w:val="false"/>
                <w:sz w:val="20"/>
                <w:szCs w:val="20"/>
              </w:rPr>
              <w:t xml:space="preserve">Polymer, via Lucid Labs Bridge</w:t>
            </w:r>
          </w:p>
        </w:tc>
        <w:tc>
          <w:tcPr>
            <w:tcW w:type="dxa" w:w="2600"/>
            <w:shd w:fill="F3F1EA" w:val="clear"/>
            <w:tcMar>
              <w:top w:type="dxa" w:w="100"/>
              <w:left w:type="dxa" w:w="120"/>
              <w:bottom w:type="dxa" w:w="100"/>
              <w:right w:type="dxa" w:w="120"/>
            </w:tcMar>
          </w:tcPr>
          <w:p>
            <w:r>
              <w:rPr>
                <w:rFonts w:ascii="Calibri" w:cs="Calibri" w:eastAsia="Calibri" w:hAnsi="Calibri"/>
                <w:b w:val="false"/>
                <w:bCs w:val="false"/>
                <w:sz w:val="20"/>
                <w:szCs w:val="20"/>
              </w:rPr>
              <w:t xml:space="preserve">0.000015 ETH plus 10 WRBNT protocol fee</w:t>
            </w:r>
          </w:p>
        </w:tc>
        <w:tc>
          <w:tcPr>
            <w:tcW w:type="dxa" w:w="1600"/>
            <w:shd w:fill="F3F1EA" w:val="clear"/>
            <w:tcMar>
              <w:top w:type="dxa" w:w="100"/>
              <w:left w:type="dxa" w:w="120"/>
              <w:bottom w:type="dxa" w:w="100"/>
              <w:right w:type="dxa" w:w="120"/>
            </w:tcMar>
          </w:tcPr>
          <w:p>
            <w:r>
              <w:rPr>
                <w:rFonts w:ascii="Calibri" w:cs="Calibri" w:eastAsia="Calibri" w:hAnsi="Calibri"/>
                <w:b w:val="false"/>
                <w:bCs w:val="false"/>
                <w:sz w:val="20"/>
                <w:szCs w:val="20"/>
              </w:rPr>
              <w:t xml:space="preserve">About 10 sec</w:t>
            </w:r>
          </w:p>
        </w:tc>
      </w:tr>
      <w:tr>
        <w:tc>
          <w:tcPr>
            <w:tcW w:type="dxa" w:w="1400"/>
            <w:tcMar>
              <w:top w:type="dxa" w:w="100"/>
              <w:left w:type="dxa" w:w="120"/>
              <w:bottom w:type="dxa" w:w="100"/>
              <w:right w:type="dxa" w:w="120"/>
            </w:tcMar>
          </w:tcPr>
          <w:p>
            <w:r>
              <w:rPr>
                <w:rFonts w:ascii="Calibri" w:cs="Calibri" w:eastAsia="Calibri" w:hAnsi="Calibri"/>
                <w:b w:val="false"/>
                <w:bCs w:val="false"/>
                <w:sz w:val="20"/>
                <w:szCs w:val="20"/>
              </w:rPr>
              <w:t xml:space="preserve">BSC</w:t>
            </w:r>
          </w:p>
        </w:tc>
        <w:tc>
          <w:tcPr>
            <w:tcW w:type="dxa" w:w="1200"/>
            <w:tcMar>
              <w:top w:type="dxa" w:w="100"/>
              <w:left w:type="dxa" w:w="120"/>
              <w:bottom w:type="dxa" w:w="100"/>
              <w:right w:type="dxa" w:w="120"/>
            </w:tcMar>
          </w:tcPr>
          <w:p>
            <w:r>
              <w:rPr>
                <w:rFonts w:ascii="Calibri" w:cs="Calibri" w:eastAsia="Calibri" w:hAnsi="Calibri"/>
                <w:b w:val="false"/>
                <w:bCs w:val="false"/>
                <w:sz w:val="20"/>
                <w:szCs w:val="20"/>
              </w:rPr>
              <w:t xml:space="preserve">RBNT</w:t>
            </w:r>
          </w:p>
        </w:tc>
        <w:tc>
          <w:tcPr>
            <w:tcW w:type="dxa" w:w="2560"/>
            <w:tcMar>
              <w:top w:type="dxa" w:w="100"/>
              <w:left w:type="dxa" w:w="120"/>
              <w:bottom w:type="dxa" w:w="100"/>
              <w:right w:type="dxa" w:w="120"/>
            </w:tcMar>
          </w:tcPr>
          <w:p>
            <w:r>
              <w:rPr>
                <w:rFonts w:ascii="Calibri" w:cs="Calibri" w:eastAsia="Calibri" w:hAnsi="Calibri"/>
                <w:b w:val="false"/>
                <w:bCs w:val="false"/>
                <w:sz w:val="20"/>
                <w:szCs w:val="20"/>
              </w:rPr>
              <w:t xml:space="preserve">Stargate, via Lucid Labs Bridge</w:t>
            </w:r>
          </w:p>
        </w:tc>
        <w:tc>
          <w:tcPr>
            <w:tcW w:type="dxa" w:w="2600"/>
            <w:tcMar>
              <w:top w:type="dxa" w:w="100"/>
              <w:left w:type="dxa" w:w="120"/>
              <w:bottom w:type="dxa" w:w="100"/>
              <w:right w:type="dxa" w:w="120"/>
            </w:tcMar>
          </w:tcPr>
          <w:p>
            <w:r>
              <w:rPr>
                <w:rFonts w:ascii="Calibri" w:cs="Calibri" w:eastAsia="Calibri" w:hAnsi="Calibri"/>
                <w:b w:val="false"/>
                <w:bCs w:val="false"/>
                <w:sz w:val="20"/>
                <w:szCs w:val="20"/>
              </w:rPr>
              <w:t xml:space="preserve">0.00044 BNB (~$0.31)</w:t>
            </w:r>
          </w:p>
        </w:tc>
        <w:tc>
          <w:tcPr>
            <w:tcW w:type="dxa" w:w="1600"/>
            <w:tcMar>
              <w:top w:type="dxa" w:w="100"/>
              <w:left w:type="dxa" w:w="120"/>
              <w:bottom w:type="dxa" w:w="100"/>
              <w:right w:type="dxa" w:w="120"/>
            </w:tcMar>
          </w:tcPr>
          <w:p>
            <w:r>
              <w:rPr>
                <w:rFonts w:ascii="Calibri" w:cs="Calibri" w:eastAsia="Calibri" w:hAnsi="Calibri"/>
                <w:b w:val="false"/>
                <w:bCs w:val="false"/>
                <w:sz w:val="20"/>
                <w:szCs w:val="20"/>
              </w:rPr>
              <w:t xml:space="preserve">About 124 min</w:t>
            </w:r>
          </w:p>
        </w:tc>
      </w:tr>
      <w:tr>
        <w:tc>
          <w:tcPr>
            <w:tcW w:type="dxa" w:w="1400"/>
            <w:shd w:fill="F3F1EA" w:val="clear"/>
            <w:tcMar>
              <w:top w:type="dxa" w:w="100"/>
              <w:left w:type="dxa" w:w="120"/>
              <w:bottom w:type="dxa" w:w="100"/>
              <w:right w:type="dxa" w:w="120"/>
            </w:tcMar>
          </w:tcPr>
          <w:p>
            <w:r>
              <w:rPr>
                <w:rFonts w:ascii="Calibri" w:cs="Calibri" w:eastAsia="Calibri" w:hAnsi="Calibri"/>
                <w:b w:val="false"/>
                <w:bCs w:val="false"/>
                <w:sz w:val="20"/>
                <w:szCs w:val="20"/>
              </w:rPr>
              <w:t xml:space="preserve">Arbitrum</w:t>
            </w:r>
          </w:p>
        </w:tc>
        <w:tc>
          <w:tcPr>
            <w:tcW w:type="dxa" w:w="1200"/>
            <w:shd w:fill="F3F1EA" w:val="clear"/>
            <w:tcMar>
              <w:top w:type="dxa" w:w="100"/>
              <w:left w:type="dxa" w:w="120"/>
              <w:bottom w:type="dxa" w:w="100"/>
              <w:right w:type="dxa" w:w="120"/>
            </w:tcMar>
          </w:tcPr>
          <w:p>
            <w:r>
              <w:rPr>
                <w:rFonts w:ascii="Calibri" w:cs="Calibri" w:eastAsia="Calibri" w:hAnsi="Calibri"/>
                <w:b w:val="false"/>
                <w:bCs w:val="false"/>
                <w:sz w:val="20"/>
                <w:szCs w:val="20"/>
              </w:rPr>
              <w:t xml:space="preserve">RBNT</w:t>
            </w:r>
          </w:p>
        </w:tc>
        <w:tc>
          <w:tcPr>
            <w:tcW w:type="dxa" w:w="2560"/>
            <w:shd w:fill="F3F1EA" w:val="clear"/>
            <w:tcMar>
              <w:top w:type="dxa" w:w="100"/>
              <w:left w:type="dxa" w:w="120"/>
              <w:bottom w:type="dxa" w:w="100"/>
              <w:right w:type="dxa" w:w="120"/>
            </w:tcMar>
          </w:tcPr>
          <w:p>
            <w:r>
              <w:rPr>
                <w:rFonts w:ascii="Calibri" w:cs="Calibri" w:eastAsia="Calibri" w:hAnsi="Calibri"/>
                <w:b w:val="false"/>
                <w:bCs w:val="false"/>
                <w:sz w:val="20"/>
                <w:szCs w:val="20"/>
              </w:rPr>
              <w:t xml:space="preserve">Stargate, via Lucid Labs Bridge</w:t>
            </w:r>
          </w:p>
        </w:tc>
        <w:tc>
          <w:tcPr>
            <w:tcW w:type="dxa" w:w="2600"/>
            <w:shd w:fill="F3F1EA" w:val="clear"/>
            <w:tcMar>
              <w:top w:type="dxa" w:w="100"/>
              <w:left w:type="dxa" w:w="120"/>
              <w:bottom w:type="dxa" w:w="100"/>
              <w:right w:type="dxa" w:w="120"/>
            </w:tcMar>
          </w:tcPr>
          <w:p>
            <w:r>
              <w:rPr>
                <w:rFonts w:ascii="Calibri" w:cs="Calibri" w:eastAsia="Calibri" w:hAnsi="Calibri"/>
                <w:b w:val="false"/>
                <w:bCs w:val="false"/>
                <w:sz w:val="20"/>
                <w:szCs w:val="20"/>
              </w:rPr>
              <w:t xml:space="preserve">0.00013 ETH (~$0.31)</w:t>
            </w:r>
          </w:p>
        </w:tc>
        <w:tc>
          <w:tcPr>
            <w:tcW w:type="dxa" w:w="1600"/>
            <w:shd w:fill="F3F1EA" w:val="clear"/>
            <w:tcMar>
              <w:top w:type="dxa" w:w="100"/>
              <w:left w:type="dxa" w:w="120"/>
              <w:bottom w:type="dxa" w:w="100"/>
              <w:right w:type="dxa" w:w="120"/>
            </w:tcMar>
          </w:tcPr>
          <w:p>
            <w:r>
              <w:rPr>
                <w:rFonts w:ascii="Calibri" w:cs="Calibri" w:eastAsia="Calibri" w:hAnsi="Calibri"/>
                <w:b w:val="false"/>
                <w:bCs w:val="false"/>
                <w:sz w:val="20"/>
                <w:szCs w:val="20"/>
              </w:rPr>
              <w:t xml:space="preserve">About 172 min</w:t>
            </w:r>
          </w:p>
        </w:tc>
      </w:tr>
      <w:tr>
        <w:tc>
          <w:tcPr>
            <w:tcW w:type="dxa" w:w="1400"/>
            <w:tcMar>
              <w:top w:type="dxa" w:w="100"/>
              <w:left w:type="dxa" w:w="120"/>
              <w:bottom w:type="dxa" w:w="100"/>
              <w:right w:type="dxa" w:w="120"/>
            </w:tcMar>
          </w:tcPr>
          <w:p>
            <w:r>
              <w:rPr>
                <w:rFonts w:ascii="Calibri" w:cs="Calibri" w:eastAsia="Calibri" w:hAnsi="Calibri"/>
                <w:b w:val="false"/>
                <w:bCs w:val="false"/>
                <w:sz w:val="20"/>
                <w:szCs w:val="20"/>
              </w:rPr>
              <w:t xml:space="preserve">Polygon</w:t>
            </w:r>
          </w:p>
        </w:tc>
        <w:tc>
          <w:tcPr>
            <w:tcW w:type="dxa" w:w="1200"/>
            <w:tcMar>
              <w:top w:type="dxa" w:w="100"/>
              <w:left w:type="dxa" w:w="120"/>
              <w:bottom w:type="dxa" w:w="100"/>
              <w:right w:type="dxa" w:w="120"/>
            </w:tcMar>
          </w:tcPr>
          <w:p>
            <w:r>
              <w:rPr>
                <w:rFonts w:ascii="Calibri" w:cs="Calibri" w:eastAsia="Calibri" w:hAnsi="Calibri"/>
                <w:b w:val="false"/>
                <w:bCs w:val="false"/>
                <w:sz w:val="20"/>
                <w:szCs w:val="20"/>
              </w:rPr>
              <w:t xml:space="preserve">RBNT</w:t>
            </w:r>
          </w:p>
        </w:tc>
        <w:tc>
          <w:tcPr>
            <w:tcW w:type="dxa" w:w="2560"/>
            <w:tcMar>
              <w:top w:type="dxa" w:w="100"/>
              <w:left w:type="dxa" w:w="120"/>
              <w:bottom w:type="dxa" w:w="100"/>
              <w:right w:type="dxa" w:w="120"/>
            </w:tcMar>
          </w:tcPr>
          <w:p>
            <w:r>
              <w:rPr>
                <w:rFonts w:ascii="Calibri" w:cs="Calibri" w:eastAsia="Calibri" w:hAnsi="Calibri"/>
                <w:b w:val="false"/>
                <w:bCs w:val="false"/>
                <w:sz w:val="20"/>
                <w:szCs w:val="20"/>
              </w:rPr>
              <w:t xml:space="preserve">Stargate, via Lucid Labs Bridge</w:t>
            </w:r>
          </w:p>
        </w:tc>
        <w:tc>
          <w:tcPr>
            <w:tcW w:type="dxa" w:w="2600"/>
            <w:tcMar>
              <w:top w:type="dxa" w:w="100"/>
              <w:left w:type="dxa" w:w="120"/>
              <w:bottom w:type="dxa" w:w="100"/>
              <w:right w:type="dxa" w:w="120"/>
            </w:tcMar>
          </w:tcPr>
          <w:p>
            <w:r>
              <w:rPr>
                <w:rFonts w:ascii="Calibri" w:cs="Calibri" w:eastAsia="Calibri" w:hAnsi="Calibri"/>
                <w:b w:val="false"/>
                <w:bCs w:val="false"/>
                <w:sz w:val="20"/>
                <w:szCs w:val="20"/>
              </w:rPr>
              <w:t xml:space="preserve">3.02 POL (~$0.32)</w:t>
            </w:r>
          </w:p>
        </w:tc>
        <w:tc>
          <w:tcPr>
            <w:tcW w:type="dxa" w:w="1600"/>
            <w:tcMar>
              <w:top w:type="dxa" w:w="100"/>
              <w:left w:type="dxa" w:w="120"/>
              <w:bottom w:type="dxa" w:w="100"/>
              <w:right w:type="dxa" w:w="120"/>
            </w:tcMar>
          </w:tcPr>
          <w:p>
            <w:r>
              <w:rPr>
                <w:rFonts w:ascii="Calibri" w:cs="Calibri" w:eastAsia="Calibri" w:hAnsi="Calibri"/>
                <w:b w:val="false"/>
                <w:bCs w:val="false"/>
                <w:sz w:val="20"/>
                <w:szCs w:val="20"/>
              </w:rPr>
              <w:t xml:space="preserve">About 176 min</w:t>
            </w:r>
          </w:p>
        </w:tc>
      </w:tr>
      <w:tr>
        <w:tc>
          <w:tcPr>
            <w:tcW w:type="dxa" w:w="1400"/>
            <w:shd w:fill="F3F1EA" w:val="clear"/>
            <w:tcMar>
              <w:top w:type="dxa" w:w="100"/>
              <w:left w:type="dxa" w:w="120"/>
              <w:bottom w:type="dxa" w:w="100"/>
              <w:right w:type="dxa" w:w="120"/>
            </w:tcMar>
          </w:tcPr>
          <w:p>
            <w:r>
              <w:rPr>
                <w:rFonts w:ascii="Calibri" w:cs="Calibri" w:eastAsia="Calibri" w:hAnsi="Calibri"/>
                <w:b w:val="false"/>
                <w:bCs w:val="false"/>
                <w:sz w:val="20"/>
                <w:szCs w:val="20"/>
              </w:rPr>
              <w:t xml:space="preserve">Avalanche</w:t>
            </w:r>
          </w:p>
        </w:tc>
        <w:tc>
          <w:tcPr>
            <w:tcW w:type="dxa" w:w="1200"/>
            <w:shd w:fill="F3F1EA" w:val="clear"/>
            <w:tcMar>
              <w:top w:type="dxa" w:w="100"/>
              <w:left w:type="dxa" w:w="120"/>
              <w:bottom w:type="dxa" w:w="100"/>
              <w:right w:type="dxa" w:w="120"/>
            </w:tcMar>
          </w:tcPr>
          <w:p>
            <w:r>
              <w:rPr>
                <w:rFonts w:ascii="Calibri" w:cs="Calibri" w:eastAsia="Calibri" w:hAnsi="Calibri"/>
                <w:b w:val="false"/>
                <w:bCs w:val="false"/>
                <w:sz w:val="20"/>
                <w:szCs w:val="20"/>
              </w:rPr>
              <w:t xml:space="preserve">RBNT</w:t>
            </w:r>
          </w:p>
        </w:tc>
        <w:tc>
          <w:tcPr>
            <w:tcW w:type="dxa" w:w="2560"/>
            <w:shd w:fill="F3F1EA" w:val="clear"/>
            <w:tcMar>
              <w:top w:type="dxa" w:w="100"/>
              <w:left w:type="dxa" w:w="120"/>
              <w:bottom w:type="dxa" w:w="100"/>
              <w:right w:type="dxa" w:w="120"/>
            </w:tcMar>
          </w:tcPr>
          <w:p>
            <w:r>
              <w:rPr>
                <w:rFonts w:ascii="Calibri" w:cs="Calibri" w:eastAsia="Calibri" w:hAnsi="Calibri"/>
                <w:b w:val="false"/>
                <w:bCs w:val="false"/>
                <w:sz w:val="20"/>
                <w:szCs w:val="20"/>
              </w:rPr>
              <w:t xml:space="preserve">Stargate, via Lucid Labs Bridge</w:t>
            </w:r>
          </w:p>
        </w:tc>
        <w:tc>
          <w:tcPr>
            <w:tcW w:type="dxa" w:w="2600"/>
            <w:shd w:fill="F3F1EA" w:val="clear"/>
            <w:tcMar>
              <w:top w:type="dxa" w:w="100"/>
              <w:left w:type="dxa" w:w="120"/>
              <w:bottom w:type="dxa" w:w="100"/>
              <w:right w:type="dxa" w:w="120"/>
            </w:tcMar>
          </w:tcPr>
          <w:p>
            <w:r>
              <w:rPr>
                <w:rFonts w:ascii="Calibri" w:cs="Calibri" w:eastAsia="Calibri" w:hAnsi="Calibri"/>
                <w:b w:val="false"/>
                <w:bCs w:val="false"/>
                <w:sz w:val="20"/>
                <w:szCs w:val="20"/>
              </w:rPr>
              <w:t xml:space="preserve">0.04 AVAX (~$0.32)</w:t>
            </w:r>
          </w:p>
        </w:tc>
        <w:tc>
          <w:tcPr>
            <w:tcW w:type="dxa" w:w="1600"/>
            <w:shd w:fill="F3F1EA" w:val="clear"/>
            <w:tcMar>
              <w:top w:type="dxa" w:w="100"/>
              <w:left w:type="dxa" w:w="120"/>
              <w:bottom w:type="dxa" w:w="100"/>
              <w:right w:type="dxa" w:w="120"/>
            </w:tcMar>
          </w:tcPr>
          <w:p>
            <w:r>
              <w:rPr>
                <w:rFonts w:ascii="Calibri" w:cs="Calibri" w:eastAsia="Calibri" w:hAnsi="Calibri"/>
                <w:b w:val="false"/>
                <w:bCs w:val="false"/>
                <w:sz w:val="20"/>
                <w:szCs w:val="20"/>
              </w:rPr>
              <w:t xml:space="preserve">About 61 min</w:t>
            </w:r>
          </w:p>
        </w:tc>
      </w:tr>
      <w:tr>
        <w:tc>
          <w:tcPr>
            <w:tcW w:type="dxa" w:w="1400"/>
            <w:tcMar>
              <w:top w:type="dxa" w:w="100"/>
              <w:left w:type="dxa" w:w="120"/>
              <w:bottom w:type="dxa" w:w="100"/>
              <w:right w:type="dxa" w:w="120"/>
            </w:tcMar>
          </w:tcPr>
          <w:p>
            <w:r>
              <w:rPr>
                <w:rFonts w:ascii="Calibri" w:cs="Calibri" w:eastAsia="Calibri" w:hAnsi="Calibri"/>
                <w:b w:val="false"/>
                <w:bCs w:val="false"/>
                <w:sz w:val="20"/>
                <w:szCs w:val="20"/>
              </w:rPr>
              <w:t xml:space="preserve">Sonic</w:t>
            </w:r>
          </w:p>
        </w:tc>
        <w:tc>
          <w:tcPr>
            <w:tcW w:type="dxa" w:w="1200"/>
            <w:tcMar>
              <w:top w:type="dxa" w:w="100"/>
              <w:left w:type="dxa" w:w="120"/>
              <w:bottom w:type="dxa" w:w="100"/>
              <w:right w:type="dxa" w:w="120"/>
            </w:tcMar>
          </w:tcPr>
          <w:p>
            <w:r>
              <w:rPr>
                <w:rFonts w:ascii="Calibri" w:cs="Calibri" w:eastAsia="Calibri" w:hAnsi="Calibri"/>
                <w:b w:val="false"/>
                <w:bCs w:val="false"/>
                <w:sz w:val="20"/>
                <w:szCs w:val="20"/>
              </w:rPr>
              <w:t xml:space="preserve">RBNT</w:t>
            </w:r>
          </w:p>
        </w:tc>
        <w:tc>
          <w:tcPr>
            <w:tcW w:type="dxa" w:w="2560"/>
            <w:tcMar>
              <w:top w:type="dxa" w:w="100"/>
              <w:left w:type="dxa" w:w="120"/>
              <w:bottom w:type="dxa" w:w="100"/>
              <w:right w:type="dxa" w:w="120"/>
            </w:tcMar>
          </w:tcPr>
          <w:p>
            <w:r>
              <w:rPr>
                <w:rFonts w:ascii="Calibri" w:cs="Calibri" w:eastAsia="Calibri" w:hAnsi="Calibri"/>
                <w:b w:val="false"/>
                <w:bCs w:val="false"/>
                <w:sz w:val="20"/>
                <w:szCs w:val="20"/>
              </w:rPr>
              <w:t xml:space="preserve">Stargate, via Lucid Labs Bridge</w:t>
            </w:r>
          </w:p>
        </w:tc>
        <w:tc>
          <w:tcPr>
            <w:tcW w:type="dxa" w:w="2600"/>
            <w:tcMar>
              <w:top w:type="dxa" w:w="100"/>
              <w:left w:type="dxa" w:w="120"/>
              <w:bottom w:type="dxa" w:w="100"/>
              <w:right w:type="dxa" w:w="120"/>
            </w:tcMar>
          </w:tcPr>
          <w:p>
            <w:r>
              <w:rPr>
                <w:rFonts w:ascii="Calibri" w:cs="Calibri" w:eastAsia="Calibri" w:hAnsi="Calibri"/>
                <w:b w:val="false"/>
                <w:bCs w:val="false"/>
                <w:sz w:val="20"/>
                <w:szCs w:val="20"/>
              </w:rPr>
              <w:t xml:space="preserve">10.62 S (~$0.31)</w:t>
            </w:r>
          </w:p>
        </w:tc>
        <w:tc>
          <w:tcPr>
            <w:tcW w:type="dxa" w:w="1600"/>
            <w:tcMar>
              <w:top w:type="dxa" w:w="100"/>
              <w:left w:type="dxa" w:w="120"/>
              <w:bottom w:type="dxa" w:w="100"/>
              <w:right w:type="dxa" w:w="120"/>
            </w:tcMar>
          </w:tcPr>
          <w:p>
            <w:r>
              <w:rPr>
                <w:rFonts w:ascii="Calibri" w:cs="Calibri" w:eastAsia="Calibri" w:hAnsi="Calibri"/>
                <w:b w:val="false"/>
                <w:bCs w:val="false"/>
                <w:sz w:val="20"/>
                <w:szCs w:val="20"/>
              </w:rPr>
              <w:t xml:space="preserve">About 86 min</w:t>
            </w:r>
          </w:p>
        </w:tc>
      </w:tr>
      <w:tr>
        <w:tc>
          <w:tcPr>
            <w:tcW w:type="dxa" w:w="1400"/>
            <w:shd w:fill="F3F1EA" w:val="clear"/>
            <w:tcMar>
              <w:top w:type="dxa" w:w="100"/>
              <w:left w:type="dxa" w:w="120"/>
              <w:bottom w:type="dxa" w:w="100"/>
              <w:right w:type="dxa" w:w="120"/>
            </w:tcMar>
          </w:tcPr>
          <w:p>
            <w:r>
              <w:rPr>
                <w:rFonts w:ascii="Calibri" w:cs="Calibri" w:eastAsia="Calibri" w:hAnsi="Calibri"/>
                <w:b w:val="false"/>
                <w:bCs w:val="false"/>
                <w:sz w:val="20"/>
                <w:szCs w:val="20"/>
              </w:rPr>
              <w:t xml:space="preserve">Solana</w:t>
            </w:r>
          </w:p>
        </w:tc>
        <w:tc>
          <w:tcPr>
            <w:tcW w:type="dxa" w:w="1200"/>
            <w:shd w:fill="F3F1EA" w:val="clear"/>
            <w:tcMar>
              <w:top w:type="dxa" w:w="100"/>
              <w:left w:type="dxa" w:w="120"/>
              <w:bottom w:type="dxa" w:w="100"/>
              <w:right w:type="dxa" w:w="120"/>
            </w:tcMar>
          </w:tcPr>
          <w:p>
            <w:r>
              <w:rPr>
                <w:rFonts w:ascii="Calibri" w:cs="Calibri" w:eastAsia="Calibri" w:hAnsi="Calibri"/>
                <w:b w:val="false"/>
                <w:bCs w:val="false"/>
                <w:sz w:val="20"/>
                <w:szCs w:val="20"/>
              </w:rPr>
              <w:t xml:space="preserve">RBNT</w:t>
            </w:r>
          </w:p>
        </w:tc>
        <w:tc>
          <w:tcPr>
            <w:tcW w:type="dxa" w:w="2560"/>
            <w:shd w:fill="F3F1EA" w:val="clear"/>
            <w:tcMar>
              <w:top w:type="dxa" w:w="100"/>
              <w:left w:type="dxa" w:w="120"/>
              <w:bottom w:type="dxa" w:w="100"/>
              <w:right w:type="dxa" w:w="120"/>
            </w:tcMar>
          </w:tcPr>
          <w:p>
            <w:r>
              <w:rPr>
                <w:rFonts w:ascii="Calibri" w:cs="Calibri" w:eastAsia="Calibri" w:hAnsi="Calibri"/>
                <w:b w:val="false"/>
                <w:bCs w:val="false"/>
                <w:sz w:val="20"/>
                <w:szCs w:val="20"/>
              </w:rPr>
              <w:t xml:space="preserve">No route on the single bridge widget, two hop route exists, see below</w:t>
            </w:r>
          </w:p>
        </w:tc>
        <w:tc>
          <w:tcPr>
            <w:tcW w:type="dxa" w:w="2600"/>
            <w:shd w:fill="F3F1EA" w:val="clear"/>
            <w:tcMar>
              <w:top w:type="dxa" w:w="100"/>
              <w:left w:type="dxa" w:w="120"/>
              <w:bottom w:type="dxa" w:w="100"/>
              <w:right w:type="dxa" w:w="120"/>
            </w:tcMar>
          </w:tcPr>
          <w:p>
            <w:r>
              <w:rPr>
                <w:rFonts w:ascii="Calibri" w:cs="Calibri" w:eastAsia="Calibri" w:hAnsi="Calibri"/>
                <w:b w:val="false"/>
                <w:bCs w:val="false"/>
                <w:sz w:val="20"/>
                <w:szCs w:val="20"/>
              </w:rPr>
              <w:t xml:space="preserve">N/A</w:t>
            </w:r>
          </w:p>
        </w:tc>
        <w:tc>
          <w:tcPr>
            <w:tcW w:type="dxa" w:w="1600"/>
            <w:shd w:fill="F3F1EA" w:val="clear"/>
            <w:tcMar>
              <w:top w:type="dxa" w:w="100"/>
              <w:left w:type="dxa" w:w="120"/>
              <w:bottom w:type="dxa" w:w="100"/>
              <w:right w:type="dxa" w:w="120"/>
            </w:tcMar>
          </w:tcPr>
          <w:p>
            <w:r>
              <w:rPr>
                <w:rFonts w:ascii="Calibri" w:cs="Calibri" w:eastAsia="Calibri" w:hAnsi="Calibri"/>
                <w:b w:val="false"/>
                <w:bCs w:val="false"/>
                <w:sz w:val="20"/>
                <w:szCs w:val="20"/>
              </w:rPr>
              <w:t xml:space="preserve">N/A</w:t>
            </w:r>
          </w:p>
        </w:tc>
      </w:tr>
    </w:tbl>
    <w:p>
      <w:pPr>
        <w:spacing w:after="160"/>
      </w:pPr>
      <w:r>
        <w:rPr>
          <w:b w:val="false"/>
          <w:bCs w:val="false"/>
          <w:i/>
          <w:iCs/>
          <w:sz w:val="22"/>
          <w:szCs w:val="22"/>
        </w:rPr>
        <w:t xml:space="preserve">WRBNT is not offered as a bridgeable asset from Solana on this bridge at all, only native RBNT appears as an option, and that route currently returns no quote, confirmed identically on Oku (oku.trade).</w:t>
      </w:r>
    </w:p>
    <w:p>
      <w:pPr>
        <w:pStyle w:val="Heading3"/>
        <w:spacing w:after="100" w:before="200"/>
      </w:pPr>
      <w:r>
        <w:rPr>
          <w:b/>
          <w:bCs/>
        </w:rPr>
        <w:t xml:space="preserve">If you are bridging from Solana specifically</w:t>
      </w:r>
    </w:p>
    <w:p>
      <w:pPr>
        <w:spacing w:after="160"/>
      </w:pPr>
      <w:r>
        <w:rPr>
          <w:b w:val="false"/>
          <w:bCs w:val="false"/>
          <w:i w:val="false"/>
          <w:iCs w:val="false"/>
          <w:sz w:val="22"/>
          <w:szCs w:val="22"/>
        </w:rPr>
        <w:t xml:space="preserve">If you hold RBNT on Solana and select it directly as source or destination on Lucid Labs Bridge or Oku, you will always see no route, and that is not a bug or an outage. Redbelly's team confirmed directly (Discord announcement, 26 May 2026, discord.com/channels/969088176322908160/969088176515854341/1508738455767879711) that there is no single-step bridge between Solana and Redbelly Network. The real route is two hops: move RBNT from Redbelly Network to a supported EVM chain such as Ethereum or Base using Lucid Labs Bridge or Oku, then bridge from that EVM chain into Solana using Stargate separately. The same two hops work in reverse to bring Solana RBNT back to Redbelly Network.</w:t>
      </w:r>
    </w:p>
    <w:p>
      <w:pPr>
        <w:pStyle w:val="Heading3"/>
        <w:spacing w:after="100" w:before="200"/>
      </w:pPr>
      <w:r>
        <w:rPr>
          <w:b/>
          <w:bCs/>
        </w:rPr>
        <w:t xml:space="preserve">What to do</w:t>
      </w:r>
    </w:p>
    <w:p>
      <w:pPr>
        <w:pStyle w:val="ListParagraph"/>
        <w:numPr>
          <w:ilvl w:val="0"/>
          <w:numId w:val="5"/>
        </w:numPr>
        <w:spacing w:after="80"/>
      </w:pPr>
      <w:r>
        <w:rPr>
          <w:sz w:val="22"/>
          <w:szCs w:val="22"/>
        </w:rPr>
        <w:t xml:space="preserve">Do not repeatedly retry a direct Solana to Redbelly Network quote, it will not appear, the route does not exist as a single hop.</w:t>
      </w:r>
    </w:p>
    <w:p>
      <w:pPr>
        <w:pStyle w:val="ListParagraph"/>
        <w:numPr>
          <w:ilvl w:val="0"/>
          <w:numId w:val="5"/>
        </w:numPr>
        <w:spacing w:after="80"/>
      </w:pPr>
      <w:r>
        <w:rPr>
          <w:sz w:val="22"/>
          <w:szCs w:val="22"/>
        </w:rPr>
        <w:t xml:space="preserve">Bridge in two separate steps instead: Redbelly Network to an EVM chain (Ethereum, Base, and others) via Lucid Labs Bridge or Oku, then that EVM chain to Solana via Stargate. The same two steps in reverse bring funds back.</w:t>
      </w:r>
    </w:p>
    <w:p>
      <w:pPr>
        <w:pStyle w:val="ListParagraph"/>
        <w:numPr>
          <w:ilvl w:val="0"/>
          <w:numId w:val="5"/>
        </w:numPr>
        <w:spacing w:after="80"/>
      </w:pPr>
      <w:r>
        <w:rPr>
          <w:sz w:val="22"/>
          <w:szCs w:val="22"/>
        </w:rPr>
        <w:t xml:space="preserve">Use the Verified routes table below for the EVM leg of the trip, fee and time there are for that leg only, the separate Stargate hop into or out of Solana is not shown in this table.</w:t>
      </w:r>
    </w:p>
    <w:p>
      <w:pPr>
        <w:pStyle w:val="ListParagraph"/>
        <w:numPr>
          <w:ilvl w:val="0"/>
          <w:numId w:val="5"/>
        </w:numPr>
        <w:spacing w:after="80"/>
      </w:pPr>
      <w:r>
        <w:rPr>
          <w:sz w:val="22"/>
          <w:szCs w:val="22"/>
        </w:rPr>
        <w:t xml:space="preserve">Do not use an unofficial or third party bridge to skip a step. An unverified route carries far higher risk than the extra hop through Stargate.</w:t>
      </w:r>
    </w:p>
    <w:p>
      <w:pPr>
        <w:pStyle w:val="Heading3"/>
        <w:spacing w:after="100" w:before="200"/>
      </w:pPr>
      <w:r>
        <w:rPr>
          <w:b/>
          <w:bCs/>
        </w:rPr>
        <w:t xml:space="preserve">If you bridged out through Celer cBridge</w:t>
      </w:r>
    </w:p>
    <w:p>
      <w:pPr>
        <w:spacing w:after="160"/>
      </w:pPr>
      <w:r>
        <w:rPr>
          <w:b w:val="false"/>
          <w:bCs w:val="false"/>
          <w:i w:val="false"/>
          <w:iCs w:val="false"/>
          <w:sz w:val="22"/>
          <w:szCs w:val="22"/>
        </w:rPr>
        <w:t xml:space="preserve">Celer cBridge (cbridge.celer.network) is a separate, genuine Redbelly integration, and Redbelly's own developer docs (vine.redbelly.network/bridged-tokens/celer) are explicit about its direction: RBNT bridges out from Redbelly to Ethereum and BNB Chain through Celer, not back. If you moved funds out through Celer, sending the same transfer back through Celer will not produce a quote no matter how long you wait or how many times you retry, that direction does not exist on this bridge. Use Lucid Labs Bridge for the return trip instead.</w:t>
      </w:r>
    </w:p>
    <w:p>
      <w:pPr>
        <w:spacing w:after="160"/>
      </w:pPr>
      <w:r>
        <w:rPr>
          <w:b w:val="false"/>
          <w:bCs w:val="false"/>
          <w:i w:val="false"/>
          <w:iCs w:val="false"/>
          <w:sz w:val="22"/>
          <w:szCs w:val="22"/>
        </w:rPr>
        <w:t xml:space="preserve">Celer also mints its own separate wRBNT contracts, different from every address in Part 2: Ethereum 0x063a1D5BFEAb213c9c12f47b704fccf81D60983e, BNB Chain 0x91623d90B33f181E6F5436fE0fB8b81932462f83, both listed on Redbelly's developer docs. If your wallet shows one of these two addresses, that is why Lucid Labs Bridge may not recognize it against the Part 2 addresses, confirm which bridge you originally used before picking a recovery route.</w:t>
      </w:r>
    </w:p>
    <w:p>
      <w:pPr>
        <w:pStyle w:val="Heading3"/>
        <w:spacing w:after="100" w:before="200"/>
      </w:pPr>
      <w:r>
        <w:rPr>
          <w:b/>
          <w:bCs/>
        </w:rPr>
        <w:t xml:space="preserve">If you are bridging from any other supported chain and still see no quote</w:t>
      </w:r>
    </w:p>
    <w:p>
      <w:pPr>
        <w:spacing w:after="160"/>
      </w:pPr>
      <w:r>
        <w:rPr>
          <w:b w:val="false"/>
          <w:bCs w:val="false"/>
          <w:i w:val="false"/>
          <w:iCs w:val="false"/>
          <w:sz w:val="22"/>
          <w:szCs w:val="22"/>
        </w:rPr>
        <w:t xml:space="preserve">For the eight other supported chains, a working route was confirmed at the time of writing. If you see quote unavailable on one of these chains instead of Solana:</w:t>
      </w:r>
    </w:p>
    <w:p>
      <w:pPr>
        <w:pStyle w:val="ListParagraph"/>
        <w:numPr>
          <w:ilvl w:val="0"/>
          <w:numId w:val="6"/>
        </w:numPr>
        <w:spacing w:after="80"/>
      </w:pPr>
      <w:r>
        <w:rPr>
          <w:sz w:val="22"/>
          <w:szCs w:val="22"/>
        </w:rPr>
        <w:t xml:space="preserve">Refresh the page. Route availability is pulled live and can be temporarily affected by liquidity on the underlying bridge (Stargate for RBNT, Polymer for WRBNT).</w:t>
      </w:r>
    </w:p>
    <w:p>
      <w:pPr>
        <w:pStyle w:val="ListParagraph"/>
        <w:numPr>
          <w:ilvl w:val="0"/>
          <w:numId w:val="6"/>
        </w:numPr>
        <w:spacing w:after="80"/>
      </w:pPr>
      <w:r>
        <w:rPr>
          <w:sz w:val="22"/>
          <w:szCs w:val="22"/>
        </w:rPr>
        <w:t xml:space="preserve">Confirm you are bridging the correct asset. RBNT and WRBNT use different underlying bridges (Stargate versus Polymer) with very different fees and times, selecting the wrong one can produce a route failure that looks like a quote problem.</w:t>
      </w:r>
    </w:p>
    <w:p>
      <w:pPr>
        <w:pStyle w:val="ListParagraph"/>
        <w:numPr>
          <w:ilvl w:val="0"/>
          <w:numId w:val="6"/>
        </w:numPr>
        <w:spacing w:after="80"/>
      </w:pPr>
      <w:r>
        <w:rPr>
          <w:sz w:val="22"/>
          <w:szCs w:val="22"/>
        </w:rPr>
        <w:t xml:space="preserve">If the issue persists for more than a short time on a chain listed above as working, treat it as a genuine Lucid Labs issue rather than a user error, and check Lucid Labs' own status channels before assuming your funds are at risk. The funds have not moved yet if you have not signed a transaction, an unavailable quote means nothing has been sent.</w:t>
      </w:r>
    </w:p>
    <w:p>
      <w:r>
        <w:br w:type="page"/>
      </w:r>
    </w:p>
    <w:p>
      <w:pPr>
        <w:pStyle w:val="Heading1"/>
        <w:spacing w:after="200" w:before="400"/>
      </w:pPr>
      <w:r>
        <w:rPr>
          <w:b/>
          <w:bCs/>
          <w:color w:val="1F2937"/>
        </w:rPr>
        <w:t xml:space="preserve">Part 5. Failure Mode 3: Stablecoins Stranded on Ethereum Mainnet</w:t>
      </w:r>
    </w:p>
    <w:p>
      <w:pPr>
        <w:pBdr>
          <w:left w:val="single" w:color="B23A2F" w:sz="24" w:space="8"/>
        </w:pBdr>
        <w:shd w:fill="F3F1EA" w:val="clear"/>
        <w:spacing w:after="220" w:before="120"/>
        <w:ind w:left="200"/>
      </w:pPr>
      <w:r>
        <w:rPr>
          <w:b/>
          <w:bCs/>
          <w:sz w:val="22"/>
          <w:szCs w:val="22"/>
        </w:rPr>
        <w:t xml:space="preserve">If USDC or USDT sent from Ethereum toward Redbelly Network has not arrived, use reddex (reddex.io) to check status and complete the transfer. Reddex is Redbelly's own official interface for this route, and it runs on the same underlying bridge infrastructure (Lucid Labs, via Polymer) confirmed elsewhere in this guide for RBNT. Redbelly's own X account confirmed reddex directly (x.com/RedbellyNetwork/status/1879115640008835095), and reddex's own account describes itself as the official and exclusive DEX of Redbelly Network.</w:t>
      </w:r>
    </w:p>
    <w:p>
      <w:pPr>
        <w:pStyle w:val="Heading3"/>
        <w:spacing w:after="100" w:before="200"/>
      </w:pPr>
      <w:r>
        <w:rPr>
          <w:b/>
          <w:bCs/>
        </w:rPr>
        <w:t xml:space="preserve">Confirmed route and fee</w:t>
      </w:r>
    </w:p>
    <w:p>
      <w:pPr>
        <w:spacing w:after="160"/>
      </w:pPr>
      <w:r>
        <w:rPr>
          <w:b w:val="false"/>
          <w:bCs w:val="false"/>
          <w:i w:val="false"/>
          <w:iCs w:val="false"/>
          <w:sz w:val="22"/>
          <w:szCs w:val="22"/>
        </w:rPr>
        <w:t xml:space="preserve">Verified live, August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3660"/>
        <w:gridCol w:w="1500"/>
      </w:tblGrid>
      <w:tr>
        <w:trPr>
          <w:tblHeader/>
        </w:trPr>
        <w:tc>
          <w:tcPr>
            <w:tcW w:type="dxa" w:w="1800"/>
            <w:shd w:fill="1F2937" w:val="clear"/>
            <w:tcMar>
              <w:top w:type="dxa" w:w="100"/>
              <w:left w:type="dxa" w:w="120"/>
              <w:bottom w:type="dxa" w:w="100"/>
              <w:right w:type="dxa" w:w="120"/>
            </w:tcMar>
          </w:tcPr>
          <w:p>
            <w:r>
              <w:rPr>
                <w:rFonts w:ascii="Calibri" w:cs="Calibri" w:eastAsia="Calibri" w:hAnsi="Calibri"/>
                <w:b/>
                <w:bCs/>
                <w:color w:val="FFFFFF"/>
                <w:sz w:val="19"/>
                <w:szCs w:val="19"/>
              </w:rPr>
              <w:t xml:space="preserve">Asset</w:t>
            </w:r>
          </w:p>
        </w:tc>
        <w:tc>
          <w:tcPr>
            <w:tcW w:type="dxa" w:w="2400"/>
            <w:shd w:fill="1F2937" w:val="clear"/>
            <w:tcMar>
              <w:top w:type="dxa" w:w="100"/>
              <w:left w:type="dxa" w:w="120"/>
              <w:bottom w:type="dxa" w:w="100"/>
              <w:right w:type="dxa" w:w="120"/>
            </w:tcMar>
          </w:tcPr>
          <w:p>
            <w:r>
              <w:rPr>
                <w:rFonts w:ascii="Calibri" w:cs="Calibri" w:eastAsia="Calibri" w:hAnsi="Calibri"/>
                <w:b/>
                <w:bCs/>
                <w:color w:val="FFFFFF"/>
                <w:sz w:val="19"/>
                <w:szCs w:val="19"/>
              </w:rPr>
              <w:t xml:space="preserve">Route</w:t>
            </w:r>
          </w:p>
        </w:tc>
        <w:tc>
          <w:tcPr>
            <w:tcW w:type="dxa" w:w="3660"/>
            <w:shd w:fill="1F2937" w:val="clear"/>
            <w:tcMar>
              <w:top w:type="dxa" w:w="100"/>
              <w:left w:type="dxa" w:w="120"/>
              <w:bottom w:type="dxa" w:w="100"/>
              <w:right w:type="dxa" w:w="120"/>
            </w:tcMar>
          </w:tcPr>
          <w:p>
            <w:r>
              <w:rPr>
                <w:rFonts w:ascii="Calibri" w:cs="Calibri" w:eastAsia="Calibri" w:hAnsi="Calibri"/>
                <w:b/>
                <w:bCs/>
                <w:color w:val="FFFFFF"/>
                <w:sz w:val="19"/>
                <w:szCs w:val="19"/>
              </w:rPr>
              <w:t xml:space="preserve">Fee</w:t>
            </w:r>
          </w:p>
        </w:tc>
        <w:tc>
          <w:tcPr>
            <w:tcW w:type="dxa" w:w="1500"/>
            <w:shd w:fill="1F2937" w:val="clear"/>
            <w:tcMar>
              <w:top w:type="dxa" w:w="100"/>
              <w:left w:type="dxa" w:w="120"/>
              <w:bottom w:type="dxa" w:w="100"/>
              <w:right w:type="dxa" w:w="120"/>
            </w:tcMar>
          </w:tcPr>
          <w:p>
            <w:r>
              <w:rPr>
                <w:rFonts w:ascii="Calibri" w:cs="Calibri" w:eastAsia="Calibri" w:hAnsi="Calibri"/>
                <w:b/>
                <w:bCs/>
                <w:color w:val="FFFFFF"/>
                <w:sz w:val="19"/>
                <w:szCs w:val="19"/>
              </w:rPr>
              <w:t xml:space="preserve">Fee Rate</w:t>
            </w:r>
          </w:p>
        </w:tc>
      </w:tr>
      <w:tr>
        <w:tc>
          <w:tcPr>
            <w:tcW w:type="dxa" w:w="1800"/>
            <w:tcMar>
              <w:top w:type="dxa" w:w="100"/>
              <w:left w:type="dxa" w:w="120"/>
              <w:bottom w:type="dxa" w:w="100"/>
              <w:right w:type="dxa" w:w="120"/>
            </w:tcMar>
          </w:tcPr>
          <w:p>
            <w:r>
              <w:rPr>
                <w:rFonts w:ascii="Calibri" w:cs="Calibri" w:eastAsia="Calibri" w:hAnsi="Calibri"/>
                <w:b w:val="false"/>
                <w:bCs w:val="false"/>
                <w:sz w:val="20"/>
                <w:szCs w:val="20"/>
              </w:rPr>
              <w:t xml:space="preserve">USDT</w:t>
            </w:r>
          </w:p>
        </w:tc>
        <w:tc>
          <w:tcPr>
            <w:tcW w:type="dxa" w:w="2400"/>
            <w:tcMar>
              <w:top w:type="dxa" w:w="100"/>
              <w:left w:type="dxa" w:w="120"/>
              <w:bottom w:type="dxa" w:w="100"/>
              <w:right w:type="dxa" w:w="120"/>
            </w:tcMar>
          </w:tcPr>
          <w:p>
            <w:r>
              <w:rPr>
                <w:rFonts w:ascii="Calibri" w:cs="Calibri" w:eastAsia="Calibri" w:hAnsi="Calibri"/>
                <w:b w:val="false"/>
                <w:bCs w:val="false"/>
                <w:sz w:val="20"/>
                <w:szCs w:val="20"/>
              </w:rPr>
              <w:t xml:space="preserve">Lucid Labs (Polymer)</w:t>
            </w:r>
          </w:p>
        </w:tc>
        <w:tc>
          <w:tcPr>
            <w:tcW w:type="dxa" w:w="3660"/>
            <w:tcMar>
              <w:top w:type="dxa" w:w="100"/>
              <w:left w:type="dxa" w:w="120"/>
              <w:bottom w:type="dxa" w:w="100"/>
              <w:right w:type="dxa" w:w="120"/>
            </w:tcMar>
          </w:tcPr>
          <w:p>
            <w:r>
              <w:rPr>
                <w:rFonts w:ascii="Calibri" w:cs="Calibri" w:eastAsia="Calibri" w:hAnsi="Calibri"/>
                <w:b w:val="false"/>
                <w:bCs w:val="false"/>
                <w:sz w:val="20"/>
                <w:szCs w:val="20"/>
              </w:rPr>
              <w:t xml:space="preserve">10 USDT on a 10,000 USDT transfer</w:t>
            </w:r>
          </w:p>
        </w:tc>
        <w:tc>
          <w:tcPr>
            <w:tcW w:type="dxa" w:w="1500"/>
            <w:tcMar>
              <w:top w:type="dxa" w:w="100"/>
              <w:left w:type="dxa" w:w="120"/>
              <w:bottom w:type="dxa" w:w="100"/>
              <w:right w:type="dxa" w:w="120"/>
            </w:tcMar>
          </w:tcPr>
          <w:p>
            <w:r>
              <w:rPr>
                <w:rFonts w:ascii="Calibri" w:cs="Calibri" w:eastAsia="Calibri" w:hAnsi="Calibri"/>
                <w:b w:val="false"/>
                <w:bCs w:val="false"/>
                <w:sz w:val="20"/>
                <w:szCs w:val="20"/>
              </w:rPr>
              <w:t xml:space="preserve">1%</w:t>
            </w:r>
          </w:p>
        </w:tc>
      </w:tr>
      <w:tr>
        <w:tc>
          <w:tcPr>
            <w:tcW w:type="dxa" w:w="1800"/>
            <w:shd w:fill="F3F1EA" w:val="clear"/>
            <w:tcMar>
              <w:top w:type="dxa" w:w="100"/>
              <w:left w:type="dxa" w:w="120"/>
              <w:bottom w:type="dxa" w:w="100"/>
              <w:right w:type="dxa" w:w="120"/>
            </w:tcMar>
          </w:tcPr>
          <w:p>
            <w:r>
              <w:rPr>
                <w:rFonts w:ascii="Calibri" w:cs="Calibri" w:eastAsia="Calibri" w:hAnsi="Calibri"/>
                <w:b w:val="false"/>
                <w:bCs w:val="false"/>
                <w:sz w:val="20"/>
                <w:szCs w:val="20"/>
              </w:rPr>
              <w:t xml:space="preserve">USDC</w:t>
            </w:r>
          </w:p>
        </w:tc>
        <w:tc>
          <w:tcPr>
            <w:tcW w:type="dxa" w:w="2400"/>
            <w:shd w:fill="F3F1EA" w:val="clear"/>
            <w:tcMar>
              <w:top w:type="dxa" w:w="100"/>
              <w:left w:type="dxa" w:w="120"/>
              <w:bottom w:type="dxa" w:w="100"/>
              <w:right w:type="dxa" w:w="120"/>
            </w:tcMar>
          </w:tcPr>
          <w:p>
            <w:r>
              <w:rPr>
                <w:rFonts w:ascii="Calibri" w:cs="Calibri" w:eastAsia="Calibri" w:hAnsi="Calibri"/>
                <w:b w:val="false"/>
                <w:bCs w:val="false"/>
                <w:sz w:val="20"/>
                <w:szCs w:val="20"/>
              </w:rPr>
              <w:t xml:space="preserve">Lucid Labs (Polymer)</w:t>
            </w:r>
          </w:p>
        </w:tc>
        <w:tc>
          <w:tcPr>
            <w:tcW w:type="dxa" w:w="3660"/>
            <w:shd w:fill="F3F1EA" w:val="clear"/>
            <w:tcMar>
              <w:top w:type="dxa" w:w="100"/>
              <w:left w:type="dxa" w:w="120"/>
              <w:bottom w:type="dxa" w:w="100"/>
              <w:right w:type="dxa" w:w="120"/>
            </w:tcMar>
          </w:tcPr>
          <w:p>
            <w:r>
              <w:rPr>
                <w:rFonts w:ascii="Calibri" w:cs="Calibri" w:eastAsia="Calibri" w:hAnsi="Calibri"/>
                <w:b w:val="false"/>
                <w:bCs w:val="false"/>
                <w:sz w:val="20"/>
                <w:szCs w:val="20"/>
              </w:rPr>
              <w:t xml:space="preserve">10 USDC on a 10,000 USDC transfer</w:t>
            </w:r>
          </w:p>
        </w:tc>
        <w:tc>
          <w:tcPr>
            <w:tcW w:type="dxa" w:w="1500"/>
            <w:shd w:fill="F3F1EA" w:val="clear"/>
            <w:tcMar>
              <w:top w:type="dxa" w:w="100"/>
              <w:left w:type="dxa" w:w="120"/>
              <w:bottom w:type="dxa" w:w="100"/>
              <w:right w:type="dxa" w:w="120"/>
            </w:tcMar>
          </w:tcPr>
          <w:p>
            <w:r>
              <w:rPr>
                <w:rFonts w:ascii="Calibri" w:cs="Calibri" w:eastAsia="Calibri" w:hAnsi="Calibri"/>
                <w:b w:val="false"/>
                <w:bCs w:val="false"/>
                <w:sz w:val="20"/>
                <w:szCs w:val="20"/>
              </w:rPr>
              <w:t xml:space="preserve">1%</w:t>
            </w:r>
          </w:p>
        </w:tc>
      </w:tr>
      <w:tr>
        <w:tc>
          <w:tcPr>
            <w:tcW w:type="dxa" w:w="1800"/>
            <w:tcMar>
              <w:top w:type="dxa" w:w="100"/>
              <w:left w:type="dxa" w:w="120"/>
              <w:bottom w:type="dxa" w:w="100"/>
              <w:right w:type="dxa" w:w="120"/>
            </w:tcMar>
          </w:tcPr>
          <w:p>
            <w:r>
              <w:rPr>
                <w:rFonts w:ascii="Calibri" w:cs="Calibri" w:eastAsia="Calibri" w:hAnsi="Calibri"/>
                <w:b w:val="false"/>
                <w:bCs w:val="false"/>
                <w:sz w:val="20"/>
                <w:szCs w:val="20"/>
              </w:rPr>
              <w:t xml:space="preserve">WRBNT</w:t>
            </w:r>
          </w:p>
        </w:tc>
        <w:tc>
          <w:tcPr>
            <w:tcW w:type="dxa" w:w="2400"/>
            <w:tcMar>
              <w:top w:type="dxa" w:w="100"/>
              <w:left w:type="dxa" w:w="120"/>
              <w:bottom w:type="dxa" w:w="100"/>
              <w:right w:type="dxa" w:w="120"/>
            </w:tcMar>
          </w:tcPr>
          <w:p>
            <w:r>
              <w:rPr>
                <w:rFonts w:ascii="Calibri" w:cs="Calibri" w:eastAsia="Calibri" w:hAnsi="Calibri"/>
                <w:b w:val="false"/>
                <w:bCs w:val="false"/>
                <w:sz w:val="20"/>
                <w:szCs w:val="20"/>
              </w:rPr>
              <w:t xml:space="preserve">Lucid Labs (Polymer)</w:t>
            </w:r>
          </w:p>
        </w:tc>
        <w:tc>
          <w:tcPr>
            <w:tcW w:type="dxa" w:w="3660"/>
            <w:tcMar>
              <w:top w:type="dxa" w:w="100"/>
              <w:left w:type="dxa" w:w="120"/>
              <w:bottom w:type="dxa" w:w="100"/>
              <w:right w:type="dxa" w:w="120"/>
            </w:tcMar>
          </w:tcPr>
          <w:p>
            <w:r>
              <w:rPr>
                <w:rFonts w:ascii="Calibri" w:cs="Calibri" w:eastAsia="Calibri" w:hAnsi="Calibri"/>
                <w:b w:val="false"/>
                <w:bCs w:val="false"/>
                <w:sz w:val="20"/>
                <w:szCs w:val="20"/>
              </w:rPr>
              <w:t xml:space="preserve">10 WRBNT on a 10,000 WRBNT transfer</w:t>
            </w:r>
          </w:p>
        </w:tc>
        <w:tc>
          <w:tcPr>
            <w:tcW w:type="dxa" w:w="1500"/>
            <w:tcMar>
              <w:top w:type="dxa" w:w="100"/>
              <w:left w:type="dxa" w:w="120"/>
              <w:bottom w:type="dxa" w:w="100"/>
              <w:right w:type="dxa" w:w="120"/>
            </w:tcMar>
          </w:tcPr>
          <w:p>
            <w:r>
              <w:rPr>
                <w:rFonts w:ascii="Calibri" w:cs="Calibri" w:eastAsia="Calibri" w:hAnsi="Calibri"/>
                <w:b w:val="false"/>
                <w:bCs w:val="false"/>
                <w:sz w:val="20"/>
                <w:szCs w:val="20"/>
              </w:rPr>
              <w:t xml:space="preserve">1%</w:t>
            </w:r>
          </w:p>
        </w:tc>
      </w:tr>
    </w:tbl>
    <w:p>
      <w:pPr>
        <w:spacing w:after="160"/>
      </w:pPr>
      <w:r>
        <w:rPr>
          <w:b w:val="false"/>
          <w:bCs w:val="false"/>
          <w:i/>
          <w:iCs/>
          <w:sz w:val="22"/>
          <w:szCs w:val="22"/>
        </w:rPr>
        <w:t xml:space="preserve">The fee is a flat 1% regardless of which of these three assets you are moving. If your reddex quote shows a materially different fee, refresh the page before proceeding, since something may have changed on the underlying route.</w:t>
      </w:r>
    </w:p>
    <w:p>
      <w:pPr>
        <w:pStyle w:val="Heading3"/>
        <w:spacing w:after="100" w:before="200"/>
      </w:pPr>
      <w:r>
        <w:rPr>
          <w:b/>
          <w:bCs/>
        </w:rPr>
        <w:t xml:space="preserve">Step 1. Confirm the transfer is actually in progress, not failed at the source</w:t>
      </w:r>
    </w:p>
    <w:p>
      <w:pPr>
        <w:spacing w:after="160"/>
      </w:pPr>
      <w:r>
        <w:rPr>
          <w:b w:val="false"/>
          <w:bCs w:val="false"/>
          <w:i w:val="false"/>
          <w:iCs w:val="false"/>
          <w:sz w:val="22"/>
          <w:szCs w:val="22"/>
        </w:rPr>
        <w:t xml:space="preserve">Before assuming your funds are stuck, check your source transaction on Etherscan. If the transaction shows as failed or reverted on Ethereum itself, your funds never left your wallet and this is not a bridging problem, it is a failed transaction, check your gas settings and retry from Ethereum directly.</w:t>
      </w:r>
    </w:p>
    <w:p>
      <w:pPr>
        <w:spacing w:after="160"/>
      </w:pPr>
      <w:r>
        <w:rPr>
          <w:b w:val="false"/>
          <w:bCs w:val="false"/>
          <w:i w:val="false"/>
          <w:iCs w:val="false"/>
          <w:sz w:val="22"/>
          <w:szCs w:val="22"/>
        </w:rPr>
        <w:t xml:space="preserve">If the source transaction shows as confirmed and successful on Etherscan, your funds have left your wallet and are somewhere in the bridge pipeline. Continue to Step 2.</w:t>
      </w:r>
    </w:p>
    <w:p>
      <w:pPr>
        <w:pStyle w:val="Heading3"/>
        <w:spacing w:after="100" w:before="200"/>
      </w:pPr>
      <w:r>
        <w:rPr>
          <w:b/>
          <w:bCs/>
        </w:rPr>
        <w:t xml:space="preserve">Step 2. Give it time before treating it as stuck</w:t>
      </w:r>
    </w:p>
    <w:p>
      <w:pPr>
        <w:spacing w:after="160"/>
      </w:pPr>
      <w:r>
        <w:rPr>
          <w:b w:val="false"/>
          <w:bCs w:val="false"/>
          <w:i w:val="false"/>
          <w:iCs w:val="false"/>
          <w:sz w:val="22"/>
          <w:szCs w:val="22"/>
        </w:rPr>
        <w:t xml:space="preserve">A confirmed source transaction does not mean instant arrival on Redbelly Network. Bridging through Polymer, as seen in the RBNT return path data in Part 4, has shown times ranging from around 10 seconds to a few minutes under normal conditions. If your transfer has been pending for longer than that, particularly more than 30 minutes, treat it as a genuine delay worth investigating rather than assuming it will resolve on its own.</w:t>
      </w:r>
    </w:p>
    <w:p>
      <w:pPr>
        <w:pStyle w:val="Heading3"/>
        <w:spacing w:after="100" w:before="200"/>
      </w:pPr>
      <w:r>
        <w:rPr>
          <w:b/>
          <w:bCs/>
        </w:rPr>
        <w:t xml:space="preserve">Step 3. Check reddex directly for your transfer status</w:t>
      </w:r>
    </w:p>
    <w:p>
      <w:pPr>
        <w:spacing w:after="160"/>
      </w:pPr>
      <w:r>
        <w:rPr>
          <w:b w:val="false"/>
          <w:bCs w:val="false"/>
          <w:i w:val="false"/>
          <w:iCs w:val="false"/>
          <w:sz w:val="22"/>
          <w:szCs w:val="22"/>
        </w:rPr>
        <w:t xml:space="preserve">Open reddex and select the same asset and direction you used originally, Ethereum to Redbelly Network, for the stranded asset. Confirm the quote and fee shown match what you expect based on the table above. If reddex shows your destination balance has not updated, your funds have not yet completed the bridge.</w:t>
      </w:r>
    </w:p>
    <w:p>
      <w:pPr>
        <w:pStyle w:val="Heading3"/>
        <w:spacing w:after="100" w:before="200"/>
      </w:pPr>
      <w:r>
        <w:rPr>
          <w:b/>
          <w:bCs/>
        </w:rPr>
        <w:t xml:space="preserve">Step 4. If the transfer remains stuck beyond a reasonable delay</w:t>
      </w:r>
    </w:p>
    <w:p>
      <w:pPr>
        <w:spacing w:after="160"/>
      </w:pPr>
      <w:r>
        <w:rPr>
          <w:b w:val="false"/>
          <w:bCs w:val="false"/>
          <w:i w:val="false"/>
          <w:iCs w:val="false"/>
          <w:sz w:val="22"/>
          <w:szCs w:val="22"/>
        </w:rPr>
        <w:t xml:space="preserve">At the time of writing, no dedicated resend or retry self service tool was confirmed within reddex's own interface for a stalled transfer, unlike the standalone Lucid Labs Bridge site which does expose that option for RBNT transfers. If your USDC or USDT transfer through reddex is stuck well beyond the expected time:</w:t>
      </w:r>
    </w:p>
    <w:p>
      <w:pPr>
        <w:pStyle w:val="ListParagraph"/>
        <w:numPr>
          <w:ilvl w:val="0"/>
          <w:numId w:val="7"/>
        </w:numPr>
        <w:spacing w:after="80"/>
      </w:pPr>
      <w:r>
        <w:rPr>
          <w:sz w:val="22"/>
          <w:szCs w:val="22"/>
        </w:rPr>
        <w:t xml:space="preserve">Do not resend the same transfer again to fix it. Sending a second transfer does not cancel or accelerate the first, and doubles your exposure if both eventually complete.</w:t>
      </w:r>
    </w:p>
    <w:p>
      <w:pPr>
        <w:pStyle w:val="ListParagraph"/>
        <w:numPr>
          <w:ilvl w:val="0"/>
          <w:numId w:val="7"/>
        </w:numPr>
        <w:spacing w:after="80"/>
      </w:pPr>
      <w:r>
        <w:rPr>
          <w:sz w:val="22"/>
          <w:szCs w:val="22"/>
        </w:rPr>
        <w:t xml:space="preserve">Collect your evidence before contacting anyone: the source transaction hash from Etherscan, the exact amount and asset, the timestamp, and the destination address you used.</w:t>
      </w:r>
    </w:p>
    <w:p>
      <w:pPr>
        <w:pStyle w:val="ListParagraph"/>
        <w:numPr>
          <w:ilvl w:val="0"/>
          <w:numId w:val="7"/>
        </w:numPr>
        <w:spacing w:after="80"/>
      </w:pPr>
      <w:r>
        <w:rPr>
          <w:sz w:val="22"/>
          <w:szCs w:val="22"/>
        </w:rPr>
        <w:t xml:space="preserve">Contact Redbelly or reddex support directly with this evidence, rather than attempting to resolve it through a third party bridge or an unofficial recovery service. Since reddex is Redbelly's own official route for this transfer, their support team is best positioned to check the underlying Polymer relay status on your behalf.</w:t>
      </w:r>
    </w:p>
    <w:p>
      <w:pPr>
        <w:pStyle w:val="ListParagraph"/>
        <w:numPr>
          <w:ilvl w:val="0"/>
          <w:numId w:val="7"/>
        </w:numPr>
        <w:spacing w:after="80"/>
      </w:pPr>
      <w:r>
        <w:rPr>
          <w:sz w:val="22"/>
          <w:szCs w:val="22"/>
        </w:rPr>
        <w:t xml:space="preserve">Do not click any link sent to you in Discord or a direct message claiming to help track or recover a stuck bridge transaction. This is a common vector for scams targeting exactly this kind of situation.</w:t>
      </w:r>
    </w:p>
    <w:p>
      <w:pPr>
        <w:pStyle w:val="Heading3"/>
        <w:spacing w:after="100" w:before="200"/>
      </w:pPr>
      <w:r>
        <w:rPr>
          <w:b/>
          <w:bCs/>
        </w:rPr>
        <w:t xml:space="preserve">A note on trust for this route</w:t>
      </w:r>
    </w:p>
    <w:p>
      <w:pPr>
        <w:spacing w:after="160"/>
      </w:pPr>
      <w:r>
        <w:rPr>
          <w:b w:val="false"/>
          <w:bCs w:val="false"/>
          <w:i w:val="false"/>
          <w:iCs w:val="false"/>
          <w:sz w:val="22"/>
          <w:szCs w:val="22"/>
        </w:rPr>
        <w:t xml:space="preserve">Because reddex and the standalone Lucid Labs Bridge share the same underlying infrastructure, the reliability data confirmed for RBNT bridging in Part 4 applies here as well. This is one of the few failure modes in this guide where the underlying mechanism has been independently verified working, with real fee and timing data, rather than only referenced from documentation.</w:t>
      </w:r>
    </w:p>
    <w:p>
      <w:r>
        <w:br w:type="page"/>
      </w:r>
    </w:p>
    <w:p>
      <w:pPr>
        <w:pStyle w:val="Heading1"/>
        <w:spacing w:after="200" w:before="400"/>
      </w:pPr>
      <w:r>
        <w:rPr>
          <w:b/>
          <w:bCs/>
          <w:color w:val="1F2937"/>
        </w:rPr>
        <w:t xml:space="preserve">Part 6. Failure Mode 4: Native RBNT Sent to a CEX Deposit Address by Mistake</w:t>
      </w:r>
    </w:p>
    <w:p>
      <w:pPr>
        <w:pBdr>
          <w:left w:val="single" w:color="B23A2F" w:sz="24" w:space="8"/>
        </w:pBdr>
        <w:shd w:fill="F3F1EA" w:val="clear"/>
        <w:spacing w:after="220" w:before="120"/>
        <w:ind w:left="200"/>
      </w:pPr>
      <w:r>
        <w:rPr>
          <w:b/>
          <w:bCs/>
          <w:sz w:val="22"/>
          <w:szCs w:val="22"/>
        </w:rPr>
        <w:t xml:space="preserve">If you sent RBNT directly to a centralized exchange deposit address using the wrong network, or sent an asset the exchange does not support at that address, recovery is possible on some exchanges but never guaranteed. This section covers the four exchanges currently listing RBNT: Gate, MEXC, BYDFi, and WhiteBIT. Read the warning in Part 1 before attempting any of these steps, since prevention is far more reliable than recovery.</w:t>
      </w:r>
    </w:p>
    <w:p>
      <w:pPr>
        <w:pStyle w:val="Heading3"/>
        <w:spacing w:after="100" w:before="200"/>
      </w:pPr>
      <w:r>
        <w:rPr>
          <w:b/>
          <w:bCs/>
        </w:rPr>
        <w:t xml:space="preserve">Before you contact any exchange</w:t>
      </w:r>
    </w:p>
    <w:p>
      <w:pPr>
        <w:spacing w:after="160"/>
      </w:pPr>
      <w:r>
        <w:rPr>
          <w:b w:val="false"/>
          <w:bCs w:val="false"/>
          <w:i w:val="false"/>
          <w:iCs w:val="false"/>
          <w:sz w:val="22"/>
          <w:szCs w:val="22"/>
        </w:rPr>
        <w:t xml:space="preserve">Collect this evidence first. Every recovery process below asks for the same core information, and having it ready before you open a ticket speeds up review.</w:t>
      </w:r>
    </w:p>
    <w:p>
      <w:pPr>
        <w:pStyle w:val="ListParagraph"/>
        <w:numPr>
          <w:ilvl w:val="0"/>
          <w:numId w:val="8"/>
        </w:numPr>
        <w:spacing w:after="80"/>
      </w:pPr>
      <w:r>
        <w:rPr>
          <w:sz w:val="22"/>
          <w:szCs w:val="22"/>
        </w:rPr>
        <w:t xml:space="preserve">The transaction hash (TXID) from a block explorer, not a screenshot of your wallet app.</w:t>
      </w:r>
    </w:p>
    <w:p>
      <w:pPr>
        <w:pStyle w:val="ListParagraph"/>
        <w:numPr>
          <w:ilvl w:val="0"/>
          <w:numId w:val="8"/>
        </w:numPr>
        <w:spacing w:after="80"/>
      </w:pPr>
      <w:r>
        <w:rPr>
          <w:sz w:val="22"/>
          <w:szCs w:val="22"/>
        </w:rPr>
        <w:t xml:space="preserve">The exact deposit address you sent to.</w:t>
      </w:r>
    </w:p>
    <w:p>
      <w:pPr>
        <w:pStyle w:val="ListParagraph"/>
        <w:numPr>
          <w:ilvl w:val="0"/>
          <w:numId w:val="8"/>
        </w:numPr>
        <w:spacing w:after="80"/>
      </w:pPr>
      <w:r>
        <w:rPr>
          <w:sz w:val="22"/>
          <w:szCs w:val="22"/>
        </w:rPr>
        <w:t xml:space="preserve">The exact asset and network you sent on, for example RBNT on Ethereum versus RBNT on Redbelly Network.</w:t>
      </w:r>
    </w:p>
    <w:p>
      <w:pPr>
        <w:pStyle w:val="ListParagraph"/>
        <w:numPr>
          <w:ilvl w:val="0"/>
          <w:numId w:val="8"/>
        </w:numPr>
        <w:spacing w:after="80"/>
      </w:pPr>
      <w:r>
        <w:rPr>
          <w:sz w:val="22"/>
          <w:szCs w:val="22"/>
        </w:rPr>
        <w:t xml:space="preserve">The exact amount and the date and time of the transaction.</w:t>
      </w:r>
    </w:p>
    <w:p>
      <w:pPr>
        <w:pStyle w:val="ListParagraph"/>
        <w:numPr>
          <w:ilvl w:val="0"/>
          <w:numId w:val="8"/>
        </w:numPr>
        <w:spacing w:after="80"/>
      </w:pPr>
      <w:r>
        <w:rPr>
          <w:sz w:val="22"/>
          <w:szCs w:val="22"/>
        </w:rPr>
        <w:t xml:space="preserve">Your exchange account identifier, usually your UID or the email tied to the account.</w:t>
      </w:r>
    </w:p>
    <w:p>
      <w:pPr>
        <w:spacing w:after="160"/>
      </w:pPr>
      <w:r>
        <w:rPr>
          <w:b w:val="false"/>
          <w:bCs w:val="false"/>
          <w:i/>
          <w:iCs/>
          <w:sz w:val="22"/>
          <w:szCs w:val="22"/>
        </w:rPr>
        <w:t xml:space="preserve">Use the correct language when describing this to support. You sent funds from your wallet to the exchange, you did not withdraw from the exchange. Calling it a withdrawal in your support ticket describes the wrong direction of the transfer and can slow down triage.</w:t>
      </w:r>
    </w:p>
    <w:p>
      <w:pPr>
        <w:pStyle w:val="Heading3"/>
        <w:spacing w:after="100" w:before="200"/>
      </w:pPr>
      <w:r>
        <w:rPr>
          <w:b/>
          <w:bCs/>
        </w:rPr>
        <w:t xml:space="preserve">Gate</w:t>
      </w:r>
    </w:p>
    <w:p>
      <w:pPr>
        <w:spacing w:after="160"/>
      </w:pPr>
      <w:r>
        <w:rPr>
          <w:b w:val="false"/>
          <w:bCs w:val="false"/>
          <w:i w:val="false"/>
          <w:iCs w:val="false"/>
          <w:sz w:val="22"/>
          <w:szCs w:val="22"/>
        </w:rPr>
        <w:t xml:space="preserve">Gate's tool for this is called Token Recovery, reachable from the Gate Help Center (gate.com/help) deposit and withdrawal guides. Screen order: open Recent Deposits and find the transaction, copy its TXID, confirm the address you sent to actually belongs to Gate and is not a lookalike, then open Token Recovery and check whether the chain you used shows as supported. If it does, submit Apply for Recovery, this carries a flat 20 USDT fee taken from your Spot account balance whether or not the recovery succeeds, confirm you have at least that much there first. If the chain or asset is not listed as recoverable, or the address turns out not to belong to Gate at all, contact Gate Customer Support directly with your TXID rather than relying on the self service tool.</w:t>
      </w:r>
    </w:p>
    <w:p>
      <w:pPr>
        <w:pStyle w:val="Heading3"/>
        <w:spacing w:after="100" w:before="200"/>
      </w:pPr>
      <w:r>
        <w:rPr>
          <w:b/>
          <w:bCs/>
        </w:rPr>
        <w:t xml:space="preserve">MEXC</w:t>
      </w:r>
    </w:p>
    <w:p>
      <w:pPr>
        <w:spacing w:after="160"/>
      </w:pPr>
      <w:r>
        <w:rPr>
          <w:b w:val="false"/>
          <w:bCs w:val="false"/>
          <w:i w:val="false"/>
          <w:iCs w:val="false"/>
          <w:sz w:val="22"/>
          <w:szCs w:val="22"/>
        </w:rPr>
        <w:t xml:space="preserve">MEXC's tool is the Uncredited Deposit Return Application (mexc.com/support), for deposits sent on an unsupported network or as an unsupported asset. Screen order: log in to the MEXC account that received the transfer, open Wallets, then Funding History, and use the Uncredited Deposit Return Application link from there or from MEXC's own support articles on wrong deposits. Fill in your TXID, the exact network and asset you actually sent, the amount, and a screenshot showing the deposit's source. Two things to understand before you submit.</w:t>
      </w:r>
    </w:p>
    <w:p>
      <w:pPr>
        <w:pStyle w:val="ListParagraph"/>
        <w:numPr>
          <w:ilvl w:val="0"/>
          <w:numId w:val="9"/>
        </w:numPr>
        <w:spacing w:after="80"/>
      </w:pPr>
      <w:r>
        <w:rPr>
          <w:sz w:val="22"/>
          <w:szCs w:val="22"/>
        </w:rPr>
        <w:t xml:space="preserve">The outcome is not a credit to your MEXC trading account. Funds are returned to the original sending address, the same wallet you sent from. Do not expect the asset to appear as a tradable balance on MEXC.</w:t>
      </w:r>
    </w:p>
    <w:p>
      <w:pPr>
        <w:pStyle w:val="ListParagraph"/>
        <w:numPr>
          <w:ilvl w:val="0"/>
          <w:numId w:val="9"/>
        </w:numPr>
        <w:spacing w:after="80"/>
      </w:pPr>
      <w:r>
        <w:rPr>
          <w:sz w:val="22"/>
          <w:szCs w:val="22"/>
        </w:rPr>
        <w:t xml:space="preserve">A processing fee applies regardless of outcome, and MEXC states plainly that full recovery cannot be guaranteed due to blockchain and network complexity. Review typically takes 1 to 2 business days before you hear back.</w:t>
      </w:r>
    </w:p>
    <w:p>
      <w:pPr>
        <w:pStyle w:val="Heading3"/>
        <w:spacing w:after="100" w:before="200"/>
      </w:pPr>
      <w:r>
        <w:rPr>
          <w:b/>
          <w:bCs/>
        </w:rPr>
        <w:t xml:space="preserve">BYDFi</w:t>
      </w:r>
    </w:p>
    <w:p>
      <w:pPr>
        <w:spacing w:after="160"/>
      </w:pPr>
      <w:r>
        <w:rPr>
          <w:b w:val="false"/>
          <w:bCs w:val="false"/>
          <w:i w:val="false"/>
          <w:iCs w:val="false"/>
          <w:sz w:val="22"/>
          <w:szCs w:val="22"/>
        </w:rPr>
        <w:t xml:space="preserve">BYDFi does not use a self service form for this, everything goes through Customer Support (bydfi.com/en/support), available 24 hours a day. Screen order: log in, tap your profile icon, note the UID shown under your username, then use the search bar to look up your wallet address or transaction hash and copy the TxHash from the result. Open a support ticket referencing BYDFi's own help article on depositing unsupported coins, and provide the TxHash, your UID, and the token type and amount. BYDFi's own documentation does not list a fee for this specific process, unlike Gate and MEXC, but recovery itself is still not guaranteed.</w:t>
      </w:r>
    </w:p>
    <w:p>
      <w:pPr>
        <w:pStyle w:val="Heading3"/>
        <w:spacing w:after="100" w:before="200"/>
      </w:pPr>
      <w:r>
        <w:rPr>
          <w:b/>
          <w:bCs/>
        </w:rPr>
        <w:t xml:space="preserve">WhiteBIT</w:t>
      </w:r>
    </w:p>
    <w:p>
      <w:pPr>
        <w:spacing w:after="160"/>
      </w:pPr>
      <w:r>
        <w:rPr>
          <w:b w:val="false"/>
          <w:bCs w:val="false"/>
          <w:i w:val="false"/>
          <w:iCs w:val="false"/>
          <w:sz w:val="22"/>
          <w:szCs w:val="22"/>
        </w:rPr>
        <w:t xml:space="preserve">WhiteBIT has the weakest documented recovery process of the four, and its own help center is explicit that a wrong network deposit may be irreversible. There is no dedicated recovery form comparable to Gate's Token Recovery or MEXC's Uncredited Deposit Return Application. If a deposit has not shown in your balance after 24 hours, WhiteBIT's own guidance is to contact support directly: email support@whitebit.com, use the live chat button in the lower right corner of whitebit.com, or open a ticket through WhiteBIT's Help Center (help.whitebit.com). Provide your TXID, the network and asset sent, and your account details in the ticket. Because there is no self service tool to check chain support before you submit, treat a WhiteBIT wrong network deposit as the lowest odds recovery of the four exchanges in this guide.</w:t>
      </w:r>
    </w:p>
    <w:p>
      <w:pPr>
        <w:pStyle w:val="Heading3"/>
        <w:spacing w:after="100" w:before="200"/>
      </w:pPr>
      <w:r>
        <w:rPr>
          <w:b/>
          <w:bCs/>
        </w:rPr>
        <w:t xml:space="preserve">What to expect across all four</w:t>
      </w:r>
    </w:p>
    <w:p>
      <w:pPr>
        <w:spacing w:after="160"/>
      </w:pPr>
      <w:r>
        <w:rPr>
          <w:b w:val="false"/>
          <w:bCs w:val="false"/>
          <w:i w:val="false"/>
          <w:iCs w:val="false"/>
          <w:sz w:val="22"/>
          <w:szCs w:val="22"/>
        </w:rPr>
        <w:t xml:space="preserve">None of these exchanges guarantee recovery. Processing can take days, sometimes longer, and where a fee applies it is typically charged whether or not the recovery succeeds. Do not send additional funds to the same address believing it will help resolve the situation, and do not click any link sent to you by someone claiming to expedite recovery in exchange for a fee or your wallet credentials. Legitimate recovery happens only through the official support channel of the exchange itself.</w:t>
      </w:r>
    </w:p>
    <w:p>
      <w:pPr>
        <w:spacing w:before="400"/>
      </w:pPr>
    </w:p>
    <w:p>
      <w:pPr>
        <w:pBdr>
          <w:top w:val="single" w:color="6B7280" w:sz="6" w:space="10"/>
        </w:pBdr>
      </w:pPr>
      <w:r>
        <w:rPr>
          <w:i/>
          <w:iCs/>
          <w:color w:val="6B7280"/>
          <w:sz w:val="20"/>
          <w:szCs w:val="20"/>
        </w:rPr>
        <w:t xml:space="preserve">This guide reflects live, independently verified data as of August 2026. Liquidity, fees, and routing conditions on decentralized exchanges and bridges change frequently, always confirm current quotes before acting on amounts that matter to you.</w:t>
      </w:r>
    </w:p>
    <w:p>
      <w:r>
        <w:br w:type="page"/>
      </w:r>
    </w:p>
    <w:p>
      <w:pPr>
        <w:pStyle w:val="Heading1"/>
        <w:spacing w:after="200" w:before="400"/>
      </w:pPr>
      <w:r>
        <w:rPr>
          <w:b/>
          <w:bCs/>
          <w:color w:val="1F2937"/>
        </w:rPr>
        <w:t xml:space="preserve">Sources</w:t>
      </w:r>
    </w:p>
    <w:p>
      <w:pPr>
        <w:spacing w:after="160"/>
      </w:pPr>
      <w:r>
        <w:rPr>
          <w:b w:val="false"/>
          <w:bCs w:val="false"/>
          <w:i w:val="false"/>
          <w:iCs w:val="false"/>
          <w:sz w:val="22"/>
          <w:szCs w:val="22"/>
        </w:rPr>
        <w:t xml:space="preserve">Checked directly for this revision. Confirm anything time sensitive again before relying on it, conditions on these pages change.</w:t>
      </w:r>
    </w:p>
    <w:p>
      <w:pPr>
        <w:pStyle w:val="ListParagraph"/>
        <w:numPr>
          <w:ilvl w:val="0"/>
          <w:numId w:val="11"/>
        </w:numPr>
        <w:spacing w:after="80"/>
      </w:pPr>
      <w:r>
        <w:rPr>
          <w:sz w:val="22"/>
          <w:szCs w:val="22"/>
        </w:rPr>
        <w:t xml:space="preserve">Redbelly Network official site: redbelly.network</w:t>
      </w:r>
    </w:p>
    <w:p>
      <w:pPr>
        <w:pStyle w:val="ListParagraph"/>
        <w:numPr>
          <w:ilvl w:val="0"/>
          <w:numId w:val="11"/>
        </w:numPr>
        <w:spacing w:after="80"/>
      </w:pPr>
      <w:r>
        <w:rPr>
          <w:sz w:val="22"/>
          <w:szCs w:val="22"/>
        </w:rPr>
        <w:t xml:space="preserve">Redbelly Network explorer: redbelly.routescan.io</w:t>
      </w:r>
    </w:p>
    <w:p>
      <w:pPr>
        <w:pStyle w:val="ListParagraph"/>
        <w:numPr>
          <w:ilvl w:val="0"/>
          <w:numId w:val="11"/>
        </w:numPr>
        <w:spacing w:after="80"/>
      </w:pPr>
      <w:r>
        <w:rPr>
          <w:sz w:val="22"/>
          <w:szCs w:val="22"/>
        </w:rPr>
        <w:t xml:space="preserve">Redbelly developer docs, native currency and chain list: vine.redbelly.network/native-currency</w:t>
      </w:r>
    </w:p>
    <w:p>
      <w:pPr>
        <w:pStyle w:val="ListParagraph"/>
        <w:numPr>
          <w:ilvl w:val="0"/>
          <w:numId w:val="11"/>
        </w:numPr>
        <w:spacing w:after="80"/>
      </w:pPr>
      <w:r>
        <w:rPr>
          <w:sz w:val="22"/>
          <w:szCs w:val="22"/>
        </w:rPr>
        <w:t xml:space="preserve">Redbelly developer docs, Lucid Labs bridged tokens: vine.redbelly.network/bridged-tokens/lucidlabs</w:t>
      </w:r>
    </w:p>
    <w:p>
      <w:pPr>
        <w:pStyle w:val="ListParagraph"/>
        <w:numPr>
          <w:ilvl w:val="0"/>
          <w:numId w:val="11"/>
        </w:numPr>
        <w:spacing w:after="80"/>
      </w:pPr>
      <w:r>
        <w:rPr>
          <w:sz w:val="22"/>
          <w:szCs w:val="22"/>
        </w:rPr>
        <w:t xml:space="preserve">Redbelly developer docs, Celer cBridge bridged tokens: vine.redbelly.network/bridged-tokens/celer</w:t>
      </w:r>
    </w:p>
    <w:p>
      <w:pPr>
        <w:pStyle w:val="ListParagraph"/>
        <w:numPr>
          <w:ilvl w:val="0"/>
          <w:numId w:val="11"/>
        </w:numPr>
        <w:spacing w:after="80"/>
      </w:pPr>
      <w:r>
        <w:rPr>
          <w:sz w:val="22"/>
          <w:szCs w:val="22"/>
        </w:rPr>
        <w:t xml:space="preserve">Redbelly developer docs, LayerZero bridged tokens: vine.redbelly.network/bridged-tokens/layerzero</w:t>
      </w:r>
    </w:p>
    <w:p>
      <w:pPr>
        <w:pStyle w:val="ListParagraph"/>
        <w:numPr>
          <w:ilvl w:val="0"/>
          <w:numId w:val="11"/>
        </w:numPr>
        <w:spacing w:after="80"/>
      </w:pPr>
      <w:r>
        <w:rPr>
          <w:sz w:val="22"/>
          <w:szCs w:val="22"/>
        </w:rPr>
        <w:t xml:space="preserve">Official wrapped RBNT announcement, Ethereum: x.com/RedbellyNetwork/status/1890340030197166112</w:t>
      </w:r>
    </w:p>
    <w:p>
      <w:pPr>
        <w:pStyle w:val="ListParagraph"/>
        <w:numPr>
          <w:ilvl w:val="0"/>
          <w:numId w:val="11"/>
        </w:numPr>
        <w:spacing w:after="80"/>
      </w:pPr>
      <w:r>
        <w:rPr>
          <w:sz w:val="22"/>
          <w:szCs w:val="22"/>
        </w:rPr>
        <w:t xml:space="preserve">Official wrapped RBNT announcement, Solana: x.com/RedbellyNetwork/status/1892835481865343216</w:t>
      </w:r>
    </w:p>
    <w:p>
      <w:pPr>
        <w:pStyle w:val="ListParagraph"/>
        <w:numPr>
          <w:ilvl w:val="0"/>
          <w:numId w:val="11"/>
        </w:numPr>
        <w:spacing w:after="80"/>
      </w:pPr>
      <w:r>
        <w:rPr>
          <w:sz w:val="22"/>
          <w:szCs w:val="22"/>
        </w:rPr>
        <w:t xml:space="preserve">Official reddex reference from Redbelly: x.com/RedbellyNetwork/status/1879115640008835095</w:t>
      </w:r>
    </w:p>
    <w:p>
      <w:pPr>
        <w:pStyle w:val="ListParagraph"/>
        <w:numPr>
          <w:ilvl w:val="0"/>
          <w:numId w:val="11"/>
        </w:numPr>
        <w:spacing w:after="80"/>
      </w:pPr>
      <w:r>
        <w:rPr>
          <w:sz w:val="22"/>
          <w:szCs w:val="22"/>
        </w:rPr>
        <w:t xml:space="preserve">reddex official site: reddex.io</w:t>
      </w:r>
    </w:p>
    <w:p>
      <w:pPr>
        <w:pStyle w:val="ListParagraph"/>
        <w:numPr>
          <w:ilvl w:val="0"/>
          <w:numId w:val="11"/>
        </w:numPr>
        <w:spacing w:after="80"/>
      </w:pPr>
      <w:r>
        <w:rPr>
          <w:sz w:val="22"/>
          <w:szCs w:val="22"/>
        </w:rPr>
        <w:t xml:space="preserve">Redbelly WRBNT import guide, Medium: How To Claim Your RBNT Rewards, redbellyblockchain account</w:t>
      </w:r>
    </w:p>
    <w:p>
      <w:pPr>
        <w:pStyle w:val="ListParagraph"/>
        <w:numPr>
          <w:ilvl w:val="0"/>
          <w:numId w:val="11"/>
        </w:numPr>
        <w:spacing w:after="80"/>
      </w:pPr>
      <w:r>
        <w:rPr>
          <w:sz w:val="22"/>
          <w:szCs w:val="22"/>
        </w:rPr>
        <w:t xml:space="preserve">Gate Token Recovery help article, gate.com/help, Frequently Asked Questions on Deposit</w:t>
      </w:r>
    </w:p>
    <w:p>
      <w:pPr>
        <w:pStyle w:val="ListParagraph"/>
        <w:numPr>
          <w:ilvl w:val="0"/>
          <w:numId w:val="11"/>
        </w:numPr>
        <w:spacing w:after="80"/>
      </w:pPr>
      <w:r>
        <w:rPr>
          <w:sz w:val="22"/>
          <w:szCs w:val="22"/>
        </w:rPr>
        <w:t xml:space="preserve">MEXC Uncredited Deposit Return Application help article, mexc.com/support</w:t>
      </w:r>
    </w:p>
    <w:p>
      <w:pPr>
        <w:pStyle w:val="ListParagraph"/>
        <w:numPr>
          <w:ilvl w:val="0"/>
          <w:numId w:val="11"/>
        </w:numPr>
        <w:spacing w:after="80"/>
      </w:pPr>
      <w:r>
        <w:rPr>
          <w:sz w:val="22"/>
          <w:szCs w:val="22"/>
        </w:rPr>
        <w:t xml:space="preserve">BYDFi deposit troubleshooting help article, bydfi.com/en/support, Why Your Deposit Isn't Credited</w:t>
      </w:r>
    </w:p>
    <w:p>
      <w:pPr>
        <w:pStyle w:val="ListParagraph"/>
        <w:numPr>
          <w:ilvl w:val="0"/>
          <w:numId w:val="11"/>
        </w:numPr>
        <w:spacing w:after="80"/>
      </w:pPr>
      <w:r>
        <w:rPr>
          <w:sz w:val="22"/>
          <w:szCs w:val="22"/>
        </w:rPr>
        <w:t xml:space="preserve">WhiteBIT support contact article, help.whitebit.com, Are you having difficulties</w:t>
      </w:r>
    </w:p>
    <w:p>
      <w:pPr>
        <w:pStyle w:val="ListParagraph"/>
        <w:numPr>
          <w:ilvl w:val="0"/>
          <w:numId w:val="11"/>
        </w:numPr>
        <w:spacing w:after="80"/>
      </w:pPr>
      <w:r>
        <w:rPr>
          <w:sz w:val="22"/>
          <w:szCs w:val="22"/>
        </w:rPr>
        <w:t xml:space="preserve">Redbelly team, Solana RBNT announcement, official Discord, 26 May 2026: discord.com/channels/969088176322908160/969088176515854341/1508738455767879711</w:t>
      </w:r>
    </w:p>
    <w:p>
      <w:pPr>
        <w:pStyle w:val="ListParagraph"/>
        <w:numPr>
          <w:ilvl w:val="0"/>
          <w:numId w:val="11"/>
        </w:numPr>
        <w:spacing w:after="80"/>
      </w:pPr>
      <w:r>
        <w:rPr>
          <w:sz w:val="22"/>
          <w:szCs w:val="22"/>
        </w:rPr>
        <w:t xml:space="preserve">Redbelly team, BNB Chain confirmation, official Discord, 2 Nov 2025: discord.com/channels/969088176322908160/969088176515854341</w:t>
      </w:r>
    </w:p>
    <w:p>
      <w:pPr>
        <w:pStyle w:val="ListParagraph"/>
        <w:numPr>
          <w:ilvl w:val="0"/>
          <w:numId w:val="11"/>
        </w:numPr>
        <w:spacing w:after="80"/>
      </w:pPr>
      <w:r>
        <w:rPr>
          <w:sz w:val="22"/>
          <w:szCs w:val="22"/>
        </w:rPr>
        <w:t xml:space="preserve">Oku, alternate frontend for the LayerZero RBNT route: oku.trade</w:t>
      </w:r>
    </w:p>
    <w:p>
      <w:pPr>
        <w:pStyle w:val="ListParagraph"/>
        <w:numPr>
          <w:ilvl w:val="0"/>
          <w:numId w:val="11"/>
        </w:numPr>
        <w:spacing w:after="80"/>
      </w:pPr>
      <w:r>
        <w:rPr>
          <w:sz w:val="22"/>
          <w:szCs w:val="22"/>
        </w:rPr>
        <w:t xml:space="preserve">Current wSOL/RBNT pool on Raydium: 9oTcYnRPsSVaZFk6n85ADjQRKc9m8h1bZPycXv6gPBkR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Page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Unstick Your RBNT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abstractNum w:abstractNumId="4" w15:restartNumberingAfterBreak="0">
    <w:multiLevelType w:val="hybridMultilevel"/>
    <w:lvl w:ilvl="0" w15:tentative="1">
      <w:start w:val="1"/>
      <w:numFmt w:val="decimal"/>
      <w:lvlText w:val="%1."/>
      <w:lvlJc w:val="left"/>
      <w:pPr>
        <w:ind w:left="480" w:hanging="240"/>
      </w:pPr>
    </w:lvl>
  </w:abstractNum>
  <w:abstractNum w:abstractNumId="5" w15:restartNumberingAfterBreak="0">
    <w:multiLevelType w:val="hybridMultilevel"/>
    <w:lvl w:ilvl="0" w15:tentative="1">
      <w:start w:val="1"/>
      <w:numFmt w:val="decimal"/>
      <w:lvlText w:val="%1."/>
      <w:lvlJc w:val="left"/>
      <w:pPr>
        <w:ind w:left="480" w:hanging="240"/>
      </w:pPr>
    </w:lvl>
  </w:abstractNum>
  <w:abstractNum w:abstractNumId="6" w15:restartNumberingAfterBreak="0">
    <w:multiLevelType w:val="hybridMultilevel"/>
    <w:lvl w:ilvl="0" w15:tentative="1">
      <w:start w:val="1"/>
      <w:numFmt w:val="decimal"/>
      <w:lvlText w:val="%1."/>
      <w:lvlJc w:val="left"/>
      <w:pPr>
        <w:ind w:left="480" w:hanging="240"/>
      </w:pPr>
    </w:lvl>
  </w:abstractNum>
  <w:abstractNum w:abstractNumId="7" w15:restartNumberingAfterBreak="0">
    <w:multiLevelType w:val="hybridMultilevel"/>
    <w:lvl w:ilvl="0" w15:tentative="1">
      <w:start w:val="1"/>
      <w:numFmt w:val="decimal"/>
      <w:lvlText w:val="%1."/>
      <w:lvlJc w:val="left"/>
      <w:pPr>
        <w:ind w:left="480" w:hanging="240"/>
      </w:pPr>
    </w:lvl>
  </w:abstractNum>
  <w:abstractNum w:abstractNumId="8" w15:restartNumberingAfterBreak="0">
    <w:multiLevelType w:val="hybridMultilevel"/>
    <w:lvl w:ilvl="0" w15:tentative="1">
      <w:start w:val="1"/>
      <w:numFmt w:val="decimal"/>
      <w:lvlText w:val="%1."/>
      <w:lvlJc w:val="left"/>
      <w:pPr>
        <w:ind w:left="480" w:hanging="240"/>
      </w:pPr>
    </w:lvl>
  </w:abstractNum>
  <w:abstractNum w:abstractNumId="9" w15:restartNumberingAfterBreak="0">
    <w:multiLevelType w:val="hybridMultilevel"/>
    <w:lvl w:ilvl="0" w15:tentative="1">
      <w:start w:val="1"/>
      <w:numFmt w:val="decimal"/>
      <w:lvlText w:val="%1."/>
      <w:lvlJc w:val="left"/>
      <w:pPr>
        <w:ind w:left="480" w:hanging="240"/>
      </w:pPr>
    </w:lvl>
  </w:abstractNum>
  <w:abstractNum w:abstractNumId="10" w15:restartNumberingAfterBreak="0">
    <w:multiLevelType w:val="hybridMultilevel"/>
    <w:lvl w:ilvl="0" w15:tentative="1">
      <w:start w:val="1"/>
      <w:numFmt w:val="decimal"/>
      <w:lvlText w:val="%1."/>
      <w:lvlJc w:val="left"/>
      <w:pPr>
        <w:ind w:left="480" w:hanging="240"/>
      </w:pPr>
    </w:lvl>
  </w:abstractNum>
  <w:abstractNum w:abstractNumId="11"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num>
  <w:num w:numId="11">
    <w:abstractNumId w:val="11"/>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2026-08-06T11:57:03.512Z</dcterms:created>
  <dcterms:modified xsi:type="dcterms:W3CDTF">2026-08-06T11:57:03.512Z</dcterms:modified>
</cp:coreProperties>
</file>

<file path=docProps/custom.xml><?xml version="1.0" encoding="utf-8"?>
<Properties xmlns="http://schemas.openxmlformats.org/officeDocument/2006/custom-properties" xmlns:vt="http://schemas.openxmlformats.org/officeDocument/2006/docPropsVTypes"/>
</file>