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
      <w:bookmarkEnd w:id="21"/>
    </w:p>
    <w:p>
      <w:pPr>
        <w:pStyle w:val="FirstParagraph"/>
      </w:pPr>
      <w:r>
        <w:drawing>
          <wp:inline>
            <wp:extent cx="5727700" cy="2031229"/>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2"/>
                    <a:stretch>
                      <a:fillRect/>
                    </a:stretch>
                  </pic:blipFill>
                  <pic:spPr bwMode="auto">
                    <a:xfrm>
                      <a:off x="0" y="0"/>
                      <a:ext cx="5727700" cy="2031229"/>
                    </a:xfrm>
                    <a:prstGeom prst="rect">
                      <a:avLst/>
                    </a:prstGeom>
                    <a:noFill/>
                    <a:ln w="9525">
                      <a:noFill/>
                      <a:headEnd/>
                      <a:tailEnd/>
                    </a:ln>
                  </pic:spPr>
                </pic:pic>
              </a:graphicData>
            </a:graphic>
          </wp:inline>
        </w:drawing>
      </w:r>
    </w:p>
    <w:p>
      <w:pPr>
        <w:pStyle w:val="Heading1"/>
      </w:pPr>
      <w:bookmarkStart w:id="23" w:name="application-security-verification-standard-3.1"/>
      <w:bookmarkEnd w:id="23"/>
      <w:r>
        <w:t xml:space="preserve">Application Security Verification Standard 3.1</w:t>
      </w:r>
    </w:p>
    <w:p>
      <w:pPr>
        <w:pStyle w:val="FirstParagraph"/>
      </w:pPr>
      <w:r>
        <w:t xml:space="preserve">[date]</w:t>
      </w:r>
    </w:p>
    <w:p>
      <w:pPr>
        <w:pStyle w:val="Heading1"/>
      </w:pPr>
      <w:bookmarkStart w:id="24" w:name="frontispiece"/>
      <w:bookmarkEnd w:id="24"/>
      <w:r>
        <w:t xml:space="preserve">Frontispiece</w:t>
      </w:r>
    </w:p>
    <w:p>
      <w:pPr>
        <w:pStyle w:val="Heading2"/>
      </w:pPr>
      <w:bookmarkStart w:id="25" w:name="about-the-standard"/>
      <w:bookmarkEnd w:id="25"/>
      <w:r>
        <w:t xml:space="preserve">About the Standard</w:t>
      </w:r>
    </w:p>
    <w:p>
      <w:pPr>
        <w:pStyle w:val="FirstParagraph"/>
      </w:pPr>
      <w:r>
        <w:t xml:space="preserve">Welcome to the Mobile Application Security Verification Standard (MASVS) 0.9.2. The MASVS is a community effort to establish a framework of security requirements needed to design, develop and test secure mobile apps on iOS and Android.</w:t>
      </w:r>
    </w:p>
    <w:p>
      <w:pPr>
        <w:pStyle w:val="BodyText"/>
      </w:pPr>
      <w:r>
        <w:t xml:space="preserve">The MASVS is a culmination of community effort and industry feedback. We expect this standard to evolve over time and welcome feedback from the community. The best way to get in contact with us is via the OWASP Mobile Project Slack channel:</w:t>
      </w:r>
    </w:p>
    <w:p>
      <w:pPr>
        <w:pStyle w:val="BodyText"/>
      </w:pPr>
      <w:hyperlink r:id="rId26">
        <w:r>
          <w:rPr>
            <w:rStyle w:val="Hyperlink"/>
          </w:rPr>
          <w:t xml:space="preserve">https://owasp.slack.com/messages/project-mobile_omtg/details/</w:t>
        </w:r>
      </w:hyperlink>
    </w:p>
    <w:p>
      <w:pPr>
        <w:pStyle w:val="BodyText"/>
      </w:pPr>
      <w:r>
        <w:t xml:space="preserve">Accounts can be created at the following URL:</w:t>
      </w:r>
    </w:p>
    <w:p>
      <w:pPr>
        <w:pStyle w:val="BodyText"/>
      </w:pPr>
      <w:hyperlink r:id="rId27">
        <w:r>
          <w:rPr>
            <w:rStyle w:val="Hyperlink"/>
          </w:rPr>
          <w:t xml:space="preserve">http://owasp.herokuapp.com/</w:t>
        </w:r>
      </w:hyperlink>
      <w:r>
        <w:t xml:space="preserve">.</w:t>
      </w:r>
    </w:p>
    <w:p>
      <w:pPr>
        <w:pStyle w:val="Heading2"/>
      </w:pPr>
      <w:bookmarkStart w:id="28" w:name="copyright-and-license"/>
      <w:bookmarkEnd w:id="28"/>
      <w:r>
        <w:t xml:space="preserve">Copyright and License</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29"/>
                    <a:stretch>
                      <a:fillRect/>
                    </a:stretch>
                  </pic:blipFill>
                  <pic:spPr bwMode="auto">
                    <a:xfrm>
                      <a:off x="0" y="0"/>
                      <a:ext cx="1109472" cy="402336"/>
                    </a:xfrm>
                    <a:prstGeom prst="rect">
                      <a:avLst/>
                    </a:prstGeom>
                    <a:noFill/>
                    <a:ln w="9525">
                      <a:noFill/>
                      <a:headEnd/>
                      <a:tailEnd/>
                    </a:ln>
                  </pic:spPr>
                </pic:pic>
              </a:graphicData>
            </a:graphic>
          </wp:inline>
        </w:drawing>
      </w:r>
      <w:r>
        <w:br w:type="textWrapping"/>
      </w:r>
      <w:r>
        <w:t xml:space="preserve">Copyright © 2017 The OWASP Foundation. This document is released under the Creative Commons Attribution ShareAlike 3.0 license. For any reuse or distribution, you must make clear to others the license terms of this 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Project Leads</w:t>
            </w:r>
          </w:p>
        </w:tc>
        <w:tc>
          <w:tcPr>
            <w:tcBorders>
              <w:bottom w:val="single"/>
            </w:tcBorders>
            <w:vAlign w:val="bottom"/>
          </w:tcPr>
          <w:p>
            <w:pPr>
              <w:pStyle w:val="Compact"/>
              <w:jc w:val="left"/>
            </w:pPr>
            <w:r>
              <w:t xml:space="preserve">Lead Authors</w:t>
            </w:r>
          </w:p>
        </w:tc>
        <w:tc>
          <w:tcPr>
            <w:tcBorders>
              <w:bottom w:val="single"/>
            </w:tcBorders>
            <w:vAlign w:val="bottom"/>
          </w:tcPr>
          <w:p>
            <w:pPr>
              <w:pStyle w:val="Compact"/>
              <w:jc w:val="left"/>
            </w:pPr>
            <w:r>
              <w:t xml:space="preserve">Contributors and Reviewers</w:t>
            </w:r>
          </w:p>
        </w:tc>
      </w:tr>
      <w:tr>
        <w:tc>
          <w:p>
            <w:pPr>
              <w:pStyle w:val="Compact"/>
              <w:jc w:val="left"/>
            </w:pPr>
            <w:r>
              <w:t xml:space="preserve">Bernhard Mueller, Sven Schleier</w:t>
            </w:r>
          </w:p>
        </w:tc>
        <w:tc>
          <w:p>
            <w:pPr>
              <w:pStyle w:val="Compact"/>
              <w:jc w:val="left"/>
            </w:pPr>
            <w:r>
              <w:t xml:space="preserve">Bernhard Mueller</w:t>
            </w:r>
          </w:p>
        </w:tc>
        <w:tc>
          <w:p>
            <w:pPr>
              <w:pStyle w:val="Compact"/>
              <w:jc w:val="left"/>
            </w:pPr>
            <w:r>
              <w:t xml:space="preserve">Stephen Corbiaux, Sven Schleier, Jeroen Willemsen, Anant Shrivastava, Abdessamad Temmar, Alexander Antukh, Roberto Martelloni, Stefaan Seys, Prabhant Singh, Francesco Stillavato, Abhinav Sejpal</w:t>
            </w:r>
          </w:p>
        </w:tc>
      </w:tr>
    </w:tbl>
    <w:p>
      <w:pPr>
        <w:pStyle w:val="BodyText"/>
      </w:pPr>
      <w:r>
        <w:t xml:space="preserve">This document started as a fork of the OWASP Application Security Verification Standard written by Jim Manico.</w:t>
      </w:r>
    </w:p>
    <w:p>
      <w:pPr>
        <w:pStyle w:val="Heading1"/>
      </w:pPr>
      <w:bookmarkStart w:id="30" w:name="preface"/>
      <w:bookmarkEnd w:id="30"/>
      <w:r>
        <w:t xml:space="preserve">Preface</w:t>
      </w:r>
    </w:p>
    <w:p>
      <w:pPr>
        <w:pStyle w:val="FirstParagraph"/>
      </w:pPr>
      <w:r>
        <w:t xml:space="preserve">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r>
        <w:br w:type="textWrapping"/>
      </w:r>
      <w:r>
        <w:t xml:space="preserve">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pPr>
        <w:pStyle w:val="BodyText"/>
      </w:pPr>
      <w:r>
        <w:t xml:space="preserve">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pPr>
        <w:pStyle w:val="Heading2"/>
      </w:pPr>
      <w:bookmarkStart w:id="31" w:name="whats-new-in-3.0"/>
      <w:bookmarkEnd w:id="31"/>
      <w:r>
        <w:t xml:space="preserve">What’s new in 3.0?</w:t>
      </w:r>
    </w:p>
    <w:p>
      <w:pPr>
        <w:pStyle w:val="FirstParagraph"/>
      </w:pPr>
      <w:r>
        <w:t xml:space="preserve">In version 3.0, we have added several new sections, including Configuration, Web Services, Modern (Client) based applications, and IoT Devices to make the Standard more applicable to modern applications, which are commonly responsive applications, with an extensive HTML5 front end or mobile client that calls a common set of RESTful web services using SAML authentication.</w:t>
      </w:r>
    </w:p>
    <w:p>
      <w:pPr>
        <w:pStyle w:val="BodyText"/>
      </w:pPr>
      <w:r>
        <w:t xml:space="preserve">We have also de-duplicated the standard, for example, to ensure that a mobile developer does not need to re-test the same items multiple times.</w:t>
      </w:r>
    </w:p>
    <w:p>
      <w:pPr>
        <w:pStyle w:val="BodyText"/>
      </w:pPr>
      <w:r>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w:t>
      </w:r>
    </w:p>
    <w:p>
      <w:pPr>
        <w:pStyle w:val="BodyText"/>
      </w:pPr>
      <w:r>
        <w:t xml:space="preserve">Lastly, we reached out to the community and held peer review sessions at AppSec EU 2015 and a final working session at AppSec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w:t>
      </w:r>
    </w:p>
    <w:p>
      <w:pPr>
        <w:pStyle w:val="BodyText"/>
      </w:pPr>
      <w:r>
        <w:t xml:space="preserve">Taken together, v3.0 is the single largest change to the Standard in its history. We hope that you find the update to the standard useful, and use it in ways we can only imagine.</w:t>
      </w:r>
    </w:p>
    <w:p>
      <w:pPr>
        <w:pStyle w:val="Heading1"/>
      </w:pPr>
      <w:bookmarkStart w:id="32" w:name="using-the-asvs"/>
      <w:bookmarkEnd w:id="32"/>
      <w:r>
        <w:t xml:space="preserve">Using the ASVS</w:t>
      </w:r>
    </w:p>
    <w:p>
      <w:pPr>
        <w:pStyle w:val="FirstParagraph"/>
      </w:pPr>
      <w:r>
        <w:t xml:space="preserve">ASVS has two main goals:</w:t>
      </w:r>
    </w:p>
    <w:p>
      <w:pPr>
        <w:pStyle w:val="Compact"/>
        <w:numPr>
          <w:numId w:val="1001"/>
          <w:ilvl w:val="0"/>
        </w:numPr>
      </w:pPr>
      <w:r>
        <w:t xml:space="preserve">to help organizations develop and maintain secure applications</w:t>
      </w:r>
    </w:p>
    <w:p>
      <w:pPr>
        <w:pStyle w:val="Compact"/>
        <w:numPr>
          <w:numId w:val="1001"/>
          <w:ilvl w:val="0"/>
        </w:numPr>
      </w:pPr>
      <w:r>
        <w:t xml:space="preserve">to allow security service, security tools vendors, and consumers to align their requirements and offerings</w:t>
      </w:r>
    </w:p>
    <w:p>
      <w:pPr>
        <w:pStyle w:val="FirstParagraph"/>
      </w:pPr>
      <w:r>
        <w:t xml:space="preserve">Application Security Verification Levels</w:t>
      </w:r>
      <w:r>
        <w:br w:type="textWrapping"/>
      </w:r>
      <w:r>
        <w:t xml:space="preserve">The Application Security Verification Standard defines three security verification levels, with each level increasing in depth.</w:t>
      </w:r>
    </w:p>
    <w:p>
      <w:pPr>
        <w:pStyle w:val="Compact"/>
        <w:numPr>
          <w:numId w:val="1002"/>
          <w:ilvl w:val="0"/>
        </w:numPr>
      </w:pPr>
      <w:r>
        <w:t xml:space="preserve">ASVS Level 1 is meant for all software.</w:t>
      </w:r>
    </w:p>
    <w:p>
      <w:pPr>
        <w:pStyle w:val="Compact"/>
        <w:numPr>
          <w:numId w:val="1002"/>
          <w:ilvl w:val="0"/>
        </w:numPr>
      </w:pPr>
      <w:r>
        <w:t xml:space="preserve">ASVS Level 2 is for applications that contain sensitive data, which requires protection.</w:t>
      </w:r>
    </w:p>
    <w:p>
      <w:pPr>
        <w:pStyle w:val="Compact"/>
        <w:numPr>
          <w:numId w:val="1002"/>
          <w:ilvl w:val="0"/>
        </w:numPr>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t xml:space="preserve">Figure 1 - OWASP Application Security Verification Standard 3.0 Levels</w:t>
      </w:r>
    </w:p>
    <w:p>
      <w:pPr>
        <w:pStyle w:val="Heading2"/>
      </w:pPr>
      <w:bookmarkStart w:id="33" w:name="how-to-use-this-standard"/>
      <w:bookmarkEnd w:id="33"/>
      <w:r>
        <w:t xml:space="preserve">How to use this standard</w:t>
      </w:r>
    </w:p>
    <w:p>
      <w:pPr>
        <w:pStyle w:val="FirstParagraph"/>
      </w:pPr>
      <w:r>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w:t>
      </w:r>
    </w:p>
    <w:p>
      <w:pPr>
        <w:pStyle w:val="Heading3"/>
      </w:pPr>
      <w:bookmarkStart w:id="34" w:name="level-1-opportunistic"/>
      <w:bookmarkEnd w:id="34"/>
      <w:r>
        <w:t xml:space="preserve">Level 1: Opportunistic</w:t>
      </w:r>
    </w:p>
    <w:p>
      <w:pPr>
        <w:pStyle w:val="FirstParagraph"/>
      </w:pPr>
      <w:r>
        <w:t xml:space="preserve">An application achieves ASVS Level 1 (or Opportunistic) if it adequately defends against application security vulnerabilities that are easy to discover, and included in the OWASP Top 10 and other similar checklists.</w:t>
      </w:r>
    </w:p>
    <w:p>
      <w:pPr>
        <w:pStyle w:val="BodyText"/>
      </w:pPr>
      <w:r>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pPr>
        <w:pStyle w:val="Heading3"/>
      </w:pPr>
      <w:bookmarkStart w:id="35" w:name="level-2-standard"/>
      <w:bookmarkEnd w:id="35"/>
      <w:r>
        <w:t xml:space="preserve">Level 2: Standard</w:t>
      </w:r>
    </w:p>
    <w:p>
      <w:pPr>
        <w:pStyle w:val="FirstParagraph"/>
      </w:pPr>
      <w:r>
        <w:t xml:space="preserve">An application achieves ASVS Level 2 (or Standard) if it adequately defends against most of the risks associated with software today.</w:t>
      </w:r>
      <w:r>
        <w:br w:type="textWrapping"/>
      </w: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r>
        <w:br w:type="textWrapping"/>
      </w:r>
      <w:r>
        <w:t xml:space="preserve">Threats to Level 2 applications will typically be skilled and motivated attackers focusing on specific targets using tools and techniques that are highly practiced and effective at discovering and exploiting weaknesses within applications.</w:t>
      </w:r>
    </w:p>
    <w:p>
      <w:pPr>
        <w:pStyle w:val="Heading3"/>
      </w:pPr>
      <w:bookmarkStart w:id="36" w:name="level-3-advanced"/>
      <w:bookmarkEnd w:id="36"/>
      <w:r>
        <w:t xml:space="preserve">Level 3: Advanced</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Organisations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r>
        <w:br w:type="textWrapping"/>
      </w:r>
      <w:r>
        <w:t xml:space="preserve">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(defence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pPr>
        <w:pStyle w:val="Heading2"/>
      </w:pPr>
      <w:bookmarkStart w:id="37" w:name="applying-asvs-in-practice"/>
      <w:bookmarkEnd w:id="37"/>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Industry</w:t>
            </w:r>
          </w:p>
        </w:tc>
        <w:tc>
          <w:tcPr>
            <w:tcBorders>
              <w:bottom w:val="single"/>
            </w:tcBorders>
            <w:vAlign w:val="bottom"/>
          </w:tcPr>
          <w:p>
            <w:pPr>
              <w:pStyle w:val="Compact"/>
              <w:jc w:val="left"/>
            </w:pPr>
            <w:r>
              <w:t xml:space="preserve">Threat Profile</w:t>
            </w:r>
          </w:p>
        </w:tc>
        <w:tc>
          <w:tcPr>
            <w:tcBorders>
              <w:bottom w:val="single"/>
            </w:tcBorders>
            <w:vAlign w:val="bottom"/>
          </w:tcPr>
          <w:p>
            <w:pPr>
              <w:pStyle w:val="Compact"/>
              <w:jc w:val="left"/>
            </w:pPr>
            <w:r>
              <w:t xml:space="preserve">L1 Recommendation</w:t>
            </w:r>
          </w:p>
        </w:tc>
        <w:tc>
          <w:tcPr>
            <w:tcBorders>
              <w:bottom w:val="single"/>
            </w:tcBorders>
            <w:vAlign w:val="bottom"/>
          </w:tcPr>
          <w:p>
            <w:pPr>
              <w:pStyle w:val="Compact"/>
              <w:jc w:val="left"/>
            </w:pPr>
            <w:r>
              <w:t xml:space="preserve">L2 Recommendation</w:t>
            </w:r>
          </w:p>
        </w:tc>
        <w:tc>
          <w:tcPr>
            <w:tcBorders>
              <w:bottom w:val="single"/>
            </w:tcBorders>
            <w:vAlign w:val="bottom"/>
          </w:tcPr>
          <w:p>
            <w:pPr>
              <w:pStyle w:val="Compact"/>
              <w:jc w:val="left"/>
            </w:pPr>
            <w:r>
              <w:t xml:space="preserve">L3 Recommendation</w:t>
            </w:r>
          </w:p>
        </w:tc>
      </w:tr>
      <w:tr>
        <w:tc>
          <w:p>
            <w:pPr>
              <w:pStyle w:val="Compact"/>
              <w:jc w:val="left"/>
            </w:pPr>
            <w:r>
              <w:t xml:space="preserve">Finance and Insurance</w:t>
            </w:r>
          </w:p>
        </w:tc>
        <w:tc>
          <w:p>
            <w:pPr>
              <w:pStyle w:val="Compact"/>
              <w:jc w:val="left"/>
            </w:pPr>
            <w:r>
              <w:t xml:space="preserve">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p>
        </w:tc>
      </w:tr>
      <w:tr>
        <w:tc>
          <w:p>
            <w:pPr>
              <w:pStyle w:val="Compact"/>
              <w:jc w:val="left"/>
            </w:pPr>
            <w:r>
              <w:t xml:space="preserve">Sarbanes-Oxley Act (SOX).</w:t>
            </w:r>
          </w:p>
        </w:tc>
        <w:tc>
          <w:p>
            <w:pPr>
              <w:pStyle w:val="Compact"/>
              <w:jc w:val="left"/>
            </w:pPr>
            <w:r>
              <w:t xml:space="preserve">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p>
        </w:tc>
      </w:tr>
      <w:tr>
        <w:tc>
          <w:p>
            <w:pPr>
              <w:pStyle w:val="Compact"/>
              <w:jc w:val="left"/>
            </w:pPr>
            <w:r>
              <w:t xml:space="preserve">Sarbanes-Oxley Act (SOX). All network accessible applications.</w:t>
            </w:r>
          </w:p>
        </w:tc>
        <w:tc>
          <w:p>
            <w:pPr>
              <w:pStyle w:val="Compact"/>
              <w:jc w:val="left"/>
            </w:pPr>
            <w:r>
              <w:t xml:space="preserve">Applications that contain sensitive information like credit card numbers, personal information, that can move limited amounts of money in limited ways. Examples include:</w:t>
            </w:r>
          </w:p>
        </w:tc>
      </w:tr>
    </w:tbl>
    <w:p>
      <w:pPr>
        <w:pStyle w:val="Compact"/>
        <w:numPr>
          <w:numId w:val="1003"/>
          <w:ilvl w:val="0"/>
        </w:numPr>
      </w:pPr>
      <w:r>
        <w:t xml:space="preserve">transfer money between accounts at the same institution or</w:t>
      </w:r>
    </w:p>
    <w:p>
      <w:pPr>
        <w:pStyle w:val="Compact"/>
        <w:numPr>
          <w:numId w:val="1003"/>
          <w:ilvl w:val="0"/>
        </w:numPr>
      </w:pPr>
      <w:r>
        <w:t xml:space="preserve">a slower form of money movement (e.g. ACH) with transaction limits or</w:t>
      </w:r>
    </w:p>
    <w:p>
      <w:pPr>
        <w:pStyle w:val="Compact"/>
        <w:numPr>
          <w:numId w:val="1003"/>
          <w:ilvl w:val="0"/>
        </w:numPr>
      </w:pPr>
      <w:r>
        <w:t xml:space="preserve">wire transfers with hard transfer limits within a period of time. | Applications that contain sensitive information like credit card numbers, personal information, that can move limited amounts of money in limited ways. Examples include:</w:t>
      </w:r>
    </w:p>
    <w:p>
      <w:pPr>
        <w:pStyle w:val="Compact"/>
        <w:numPr>
          <w:numId w:val="1003"/>
          <w:ilvl w:val="0"/>
        </w:numPr>
      </w:pPr>
      <w:r>
        <w:t xml:space="preserve">transfer money between accounts at the same institution or</w:t>
      </w:r>
    </w:p>
    <w:p>
      <w:pPr>
        <w:pStyle w:val="Compact"/>
        <w:numPr>
          <w:numId w:val="1003"/>
          <w:ilvl w:val="0"/>
        </w:numPr>
      </w:pPr>
      <w:r>
        <w:t xml:space="preserve">a slower form of money movement (e.g. ACH) with transaction limits or</w:t>
      </w:r>
    </w:p>
    <w:p>
      <w:pPr>
        <w:pStyle w:val="Compact"/>
        <w:numPr>
          <w:numId w:val="1003"/>
          <w:ilvl w:val="0"/>
        </w:numPr>
      </w:pPr>
      <w:r>
        <w:t xml:space="preserve">wire transfers with hard transfer limits within a period of time. Applications that contain large amounts of sensitive information or that allow either rapid transfer of large sums of money (e.g. wire transfers) and/or transfer of large sums of money in the form of individual transactions or as a batch of smaller transfers. |</w:t>
      </w:r>
    </w:p>
    <w:p>
      <w:pPr>
        <w:pStyle w:val="Heading1"/>
      </w:pPr>
      <w:bookmarkStart w:id="38" w:name="assessment-and-certification"/>
      <w:bookmarkEnd w:id="38"/>
      <w:r>
        <w:t xml:space="preserve">Assessment and Certification</w:t>
      </w:r>
    </w:p>
    <w:p>
      <w:pPr>
        <w:pStyle w:val="Heading2"/>
      </w:pPr>
      <w:bookmarkStart w:id="39" w:name="owasps-stance-on-masvs-certifications-and-trust-marks"/>
      <w:bookmarkEnd w:id="39"/>
      <w:r>
        <w:t xml:space="preserve">OWASP's Stance on MASVS Certifications and Trust Marks</w:t>
      </w:r>
    </w:p>
    <w:p>
      <w:pPr>
        <w:pStyle w:val="FirstParagraph"/>
      </w:pPr>
      <w:r>
        <w:t xml:space="preserve">OWASP, as a vendor-neutral not-for-profit organization, does not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p>
      <w:pPr>
        <w:pStyle w:val="Heading2"/>
      </w:pPr>
      <w:bookmarkStart w:id="40" w:name="guidance-for-certifying-mobile-apps"/>
      <w:bookmarkEnd w:id="40"/>
      <w:r>
        <w:t xml:space="preserve">Guidance for Certifying Mobile Apps</w:t>
      </w:r>
    </w:p>
    <w:p>
      <w:pPr>
        <w:pStyle w:val="FirstParagraph"/>
      </w:pPr>
      <w:r>
        <w:t xml:space="preserve">The recommended way of verifying compliance of a mobile app with the MASVS is by performing an "open book" review, meaning that the testers are granted access to key resources such as architects and developers of the app, project documentation, source code, and authenticated access to endpoints, including access to at least one user account for each role.</w:t>
      </w:r>
    </w:p>
    <w:p>
      <w:pPr>
        <w:pStyle w:val="BodyText"/>
      </w:pPr>
      <w:r>
        <w:t xml:space="preserve">It is important to note that the MASVS only covers security of the (client-side) mobile app and the network communication between the app and its remote endpoint(s), as well as a few basic and generic requirements related to user authentication and session management. It does not contain specific requirements for the remote services (e.g. web services) associated with the app, safe for a limited set of generic requirements pertaining to authentication and session management. However, MASVS V1 specifies that remote services must be covered by the overall threat model, and be verified against appropriate standards, such as the OWASP ASVS.</w:t>
      </w:r>
    </w:p>
    <w:p>
      <w:pPr>
        <w:pStyle w:val="BodyText"/>
      </w:pPr>
      <w:r>
        <w:t xml:space="preserve">A certifying organization must include in any report the scope of the verification (particularly if a key component is out of scope), a summary of verification findings, including passed and failed tests, with clear indications of how to resolve the failed tests. Keeping detailed work papers, screenshots or movies, scripts to reliably and repeatedly exploit an issue, and electronic records of testing, such as intercepting proxy logs and associated notes such as a cleanup list, is considered standard industry practice. It is not sufficient to simply run a tool and report on the failures; this does not provide sufficient evidence that all issues at a certifying level have been tested and tested thoroughly. In case of dispute, there should be sufficient supportive evidence to demonstrate that every verified requirement has indeed been tested.</w:t>
      </w:r>
    </w:p>
    <w:p>
      <w:pPr>
        <w:pStyle w:val="Heading3"/>
      </w:pPr>
      <w:bookmarkStart w:id="41" w:name="using-the-owasp-mobile-security-testing-guide-mstg"/>
      <w:bookmarkEnd w:id="41"/>
      <w:r>
        <w:t xml:space="preserve">Using the OWASP Mobile Security Testing Guide (MSTG)</w:t>
      </w:r>
    </w:p>
    <w:p>
      <w:pPr>
        <w:pStyle w:val="FirstParagraph"/>
      </w:pPr>
      <w:r>
        <w:t xml:space="preserve">The OWASP MSTG is a manual for testing the security of mobile apps. It describes the technical processes for verifying the requirements listed in the MASVS. The MSTG includes a list of test cases, each of which map to a requirement in the MASVS. While the MASVS requirements are high-level and generic, the MSTG provides in-depth recommendations and testing procedures on a per-mobile-OS basis.</w:t>
      </w:r>
    </w:p>
    <w:p>
      <w:pPr>
        <w:pStyle w:val="Heading3"/>
      </w:pPr>
      <w:bookmarkStart w:id="42" w:name="the-role-of-automated-security-testing-tools"/>
      <w:bookmarkEnd w:id="42"/>
      <w:r>
        <w:t xml:space="preserve">The Role of Automated Security Testing Tools</w:t>
      </w:r>
    </w:p>
    <w:p>
      <w:pPr>
        <w:pStyle w:val="FirstParagraph"/>
      </w:pPr>
      <w:r>
        <w:t xml:space="preserve">The use of source code scanners and black-box testing tools is encouraged in order to increase efficiency whenever possible. It is however not possible to complete MASVS verification using automated tools alone: Every mobile app is different, and understanding the overall architecture, business logic, and technical pitfalls of the specific technologies and frameworks being used, is a mandatory requirement to verify security of the app.</w:t>
      </w:r>
    </w:p>
    <w:p>
      <w:pPr>
        <w:pStyle w:val="Heading2"/>
      </w:pPr>
      <w:bookmarkStart w:id="43" w:name="other-uses"/>
      <w:bookmarkEnd w:id="43"/>
      <w:r>
        <w:t xml:space="preserve">Other Uses</w:t>
      </w:r>
    </w:p>
    <w:p>
      <w:pPr>
        <w:pStyle w:val="Heading3"/>
      </w:pPr>
      <w:bookmarkStart w:id="44" w:name="as-detailed-security-architecture-guidance"/>
      <w:bookmarkEnd w:id="44"/>
      <w:r>
        <w:t xml:space="preserve">As Detailed Security Architecture Guidance</w:t>
      </w:r>
    </w:p>
    <w:p>
      <w:pPr>
        <w:pStyle w:val="FirstParagraph"/>
      </w:pPr>
      <w:r>
        <w:t xml:space="preserve">One of the more common uses for the Mobile Application Security Verification Standard is as a resource for security architects. The two major security architecture frameworks, SABSA or TOGAF, are missing a great deal of information that is necessary to complete mobile application security architecture reviews. MASVS can be used to fill in those gaps by allowing security architects to choose better controls for issues common to mobile apps.</w:t>
      </w:r>
    </w:p>
    <w:p>
      <w:pPr>
        <w:pStyle w:val="Heading3"/>
      </w:pPr>
      <w:bookmarkStart w:id="45" w:name="as-a-replacement-for-off-the-shelf-secure-coding-checklists"/>
      <w:bookmarkEnd w:id="45"/>
      <w:r>
        <w:t xml:space="preserve">As a Replacement for Off-the-shelf Secure Coding Checklists</w:t>
      </w:r>
    </w:p>
    <w:p>
      <w:pPr>
        <w:pStyle w:val="FirstParagraph"/>
      </w:pPr>
      <w:r>
        <w:t xml:space="preserve">Many organizations can benefit from adopting the MASVS, by choosing one of the two levels, or by forking MASVS and changing what is required for each application's risk level in a domain-specific way. We encourage this type of forking as long as traceability is maintained, so that if an app has passed requirement 4.1, this means the same thing for forked copies as the standard evolves.</w:t>
      </w:r>
    </w:p>
    <w:p>
      <w:pPr>
        <w:pStyle w:val="Heading3"/>
      </w:pPr>
      <w:bookmarkStart w:id="46" w:name="as-a-basis-for-security-testing-methodologies"/>
      <w:bookmarkEnd w:id="46"/>
      <w:r>
        <w:t xml:space="preserve">As a Basis for Security Testing Methodologies</w:t>
      </w:r>
    </w:p>
    <w:p>
      <w:pPr>
        <w:pStyle w:val="FirstParagraph"/>
      </w:pPr>
      <w:r>
        <w:t xml:space="preserve">A good mobile app security testing methodology should cover all requirements listed in the MASVS. The OWASP Mobile Security Testing Guide (MSTG) describes black-box and white-box test cases for each verification requirement.</w:t>
      </w:r>
    </w:p>
    <w:p>
      <w:pPr>
        <w:pStyle w:val="Heading3"/>
      </w:pPr>
      <w:bookmarkStart w:id="47" w:name="as-a-guide-for-automated-unit-and-integration-tests"/>
      <w:bookmarkEnd w:id="47"/>
      <w:r>
        <w:t xml:space="preserve">As a Guide for Automated Unit and Integration Tests</w:t>
      </w:r>
    </w:p>
    <w:p>
      <w:pPr>
        <w:pStyle w:val="FirstParagraph"/>
      </w:pPr>
      <w:r>
        <w:t xml:space="preserve">The MASVS is designed to be highly testable, with the sole exception of architectural requirements. Automated unit, integration and acceptance testing based on the MASVS requirements can be integrated in the continuous development lifecycle. This not only increases developer security awareness, but also improves the overall quality of the resulting apps, and reduces the amount of findings during security testing in the pre-release phase.</w:t>
      </w:r>
    </w:p>
    <w:p>
      <w:pPr>
        <w:pStyle w:val="Heading3"/>
      </w:pPr>
      <w:bookmarkStart w:id="48" w:name="for-secure-development-training"/>
      <w:bookmarkEnd w:id="48"/>
      <w:r>
        <w:t xml:space="preserve">For Secure Development Training</w:t>
      </w:r>
    </w:p>
    <w:p>
      <w:pPr>
        <w:pStyle w:val="FirstParagraph"/>
      </w:pPr>
      <w:r>
        <w:t xml:space="preserve">MASVS can also be used to define characteristics of secure mobile apps. Many "secure coding" courses are simply ethical hacking courses with a light smear of coding tips. This does not help developers. Instead, secure development courses can use the MASVS, with a strong focus on the proactive controls documented in the MASVS, rather than e.g. the Top 10 code security issues.</w:t>
      </w:r>
    </w:p>
    <w:p>
      <w:pPr>
        <w:pStyle w:val="Heading1"/>
      </w:pPr>
      <w:bookmarkStart w:id="49" w:name="v1-architecture-design-and-threat-modeling-requirements"/>
      <w:bookmarkEnd w:id="49"/>
      <w:r>
        <w:t xml:space="preserve">V1: Architecture, Design and Threat Modeling Requirements</w:t>
      </w:r>
    </w:p>
    <w:p>
      <w:pPr>
        <w:pStyle w:val="Heading2"/>
      </w:pPr>
      <w:bookmarkStart w:id="50" w:name="control-objective"/>
      <w:bookmarkEnd w:id="50"/>
      <w:r>
        <w:t xml:space="preserve">Control Objective</w:t>
      </w:r>
    </w:p>
    <w:p>
      <w:pPr>
        <w:pStyle w:val="FirstParagraph"/>
      </w:pPr>
      <w:r>
        <w:t xml:space="preserve">In a perfect world, security would be considered throughout all phases of development. In reality however, security is often only a consideration at a late stage in the SDLC. Besides the technical controls, the ASVS requires processes to be in place that ensure that the security has been explicitly addressed when planning the architecture of the application or API, and that the functional and security roles of all components are known. Since single page applications and act as clients to remote API or services, it must be ensured that appropriate security standards are also applied to those services - testing the app in isolation is not sufficient.</w:t>
      </w:r>
    </w:p>
    <w:p>
      <w:pPr>
        <w:pStyle w:val="BodyText"/>
      </w:pPr>
      <w:r>
        <w:t xml:space="preserve">The category “V1” lists requirements pertaining to architecture and design of the app. As such, this is the only category that does not map to technical test cases in the OWASP Testing Guide. To cover topics such as threat modelling, secure SDLC, key management, users of the ASVS should consult the respective OWASP projects and/or other standards such as the ones linked below.</w:t>
      </w:r>
    </w:p>
    <w:p>
      <w:pPr>
        <w:pStyle w:val="Heading2"/>
      </w:pPr>
      <w:bookmarkStart w:id="51" w:name="security-verification-requirements"/>
      <w:bookmarkEnd w:id="51"/>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1.1</w:t>
            </w:r>
          </w:p>
        </w:tc>
        <w:tc>
          <w:p>
            <w:pPr>
              <w:pStyle w:val="Compact"/>
              <w:jc w:val="left"/>
            </w:pPr>
            <w:r>
              <w:t xml:space="preserve">All app components are identified and known to be needed.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1.2</w:t>
            </w:r>
          </w:p>
        </w:tc>
        <w:tc>
          <w:p>
            <w:pPr>
              <w:pStyle w:val="Compact"/>
              <w:jc w:val="left"/>
            </w:pPr>
            <w:r>
              <w:t xml:space="preserve">Security controls are never enforced only on the client side, but on the respective remote endpoints.</w:t>
            </w:r>
          </w:p>
        </w:tc>
        <w:tc>
          <w:p>
            <w:pPr>
              <w:pStyle w:val="Compact"/>
            </w:pP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1.3</w:t>
            </w:r>
          </w:p>
        </w:tc>
        <w:tc>
          <w:p>
            <w:pPr>
              <w:pStyle w:val="Compact"/>
              <w:jc w:val="left"/>
            </w:pPr>
            <w:r>
              <w:t xml:space="preserve">A high-level architecture for the application and all connected remote services has been defined and security has been addressed in that architecture.</w:t>
            </w:r>
          </w:p>
        </w:tc>
        <w:tc>
          <w:p>
            <w:pPr>
              <w:pStyle w:val="Compact"/>
            </w:pP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1.4</w:t>
            </w:r>
          </w:p>
        </w:tc>
        <w:tc>
          <w:p>
            <w:pPr>
              <w:pStyle w:val="Compact"/>
              <w:jc w:val="left"/>
            </w:pPr>
            <w:r>
              <w:t xml:space="preserve">Data considered sensitive in the context of the application is clearly identified.</w:t>
            </w:r>
          </w:p>
        </w:tc>
        <w:tc>
          <w:p>
            <w:pPr>
              <w:pStyle w:val="Compact"/>
            </w:pPr>
          </w:p>
        </w:tc>
        <w:tc>
          <w:p>
            <w:pPr>
              <w:pStyle w:val="Compact"/>
            </w:pPr>
          </w:p>
        </w:tc>
        <w:tc>
          <w:p>
            <w:pPr>
              <w:pStyle w:val="Compact"/>
              <w:jc w:val="left"/>
            </w:pPr>
            <w:r>
              <w:t xml:space="preserve">✓</w:t>
            </w:r>
          </w:p>
        </w:tc>
        <w:tc>
          <w:p>
            <w:pPr>
              <w:pStyle w:val="Compact"/>
              <w:jc w:val="left"/>
            </w:pPr>
            <w:r>
              <w:t xml:space="preserve">1.0</w:t>
            </w:r>
          </w:p>
        </w:tc>
      </w:tr>
      <w:tr>
        <w:tc>
          <w:p>
            <w:pPr>
              <w:pStyle w:val="Compact"/>
              <w:jc w:val="left"/>
            </w:pPr>
            <w:r>
              <w:rPr>
                <w:b/>
              </w:rPr>
              <w:t xml:space="preserve">1.5</w:t>
            </w:r>
          </w:p>
        </w:tc>
        <w:tc>
          <w:p>
            <w:pPr>
              <w:pStyle w:val="Compact"/>
              <w:jc w:val="left"/>
            </w:pPr>
            <w:r>
              <w:t xml:space="preserve">All app components are defined in terms of the business functions and/or security functions they provide.</w:t>
            </w:r>
          </w:p>
        </w:tc>
        <w:tc>
          <w:p>
            <w:pPr>
              <w:pStyle w:val="Compact"/>
            </w:pPr>
          </w:p>
        </w:tc>
        <w:tc>
          <w:p>
            <w:pPr>
              <w:pStyle w:val="Compact"/>
            </w:pPr>
          </w:p>
        </w:tc>
        <w:tc>
          <w:p>
            <w:pPr>
              <w:pStyle w:val="Compact"/>
              <w:jc w:val="left"/>
            </w:pPr>
            <w:r>
              <w:t xml:space="preserve">✓</w:t>
            </w:r>
          </w:p>
        </w:tc>
        <w:tc>
          <w:p>
            <w:pPr>
              <w:pStyle w:val="Compact"/>
              <w:jc w:val="left"/>
            </w:pPr>
            <w:r>
              <w:t xml:space="preserve">1.0</w:t>
            </w:r>
          </w:p>
        </w:tc>
      </w:tr>
      <w:tr>
        <w:tc>
          <w:p>
            <w:pPr>
              <w:pStyle w:val="Compact"/>
              <w:jc w:val="left"/>
            </w:pPr>
            <w:r>
              <w:rPr>
                <w:b/>
              </w:rPr>
              <w:t xml:space="preserve">1.6</w:t>
            </w:r>
          </w:p>
        </w:tc>
        <w:tc>
          <w:p>
            <w:pPr>
              <w:pStyle w:val="Compact"/>
              <w:jc w:val="left"/>
            </w:pPr>
            <w:r>
              <w:t xml:space="preserve">A threat model for the application and the associated remote services has been produced that identifies potential threats and countermeasures.</w:t>
            </w:r>
          </w:p>
        </w:tc>
        <w:tc>
          <w:p>
            <w:pPr>
              <w:pStyle w:val="Compact"/>
            </w:pPr>
          </w:p>
        </w:tc>
        <w:tc>
          <w:p>
            <w:pPr>
              <w:pStyle w:val="Compact"/>
            </w:pPr>
          </w:p>
        </w:tc>
        <w:tc>
          <w:p>
            <w:pPr>
              <w:pStyle w:val="Compact"/>
              <w:jc w:val="left"/>
            </w:pPr>
            <w:r>
              <w:t xml:space="preserve">✓</w:t>
            </w:r>
          </w:p>
        </w:tc>
        <w:tc>
          <w:p>
            <w:pPr>
              <w:pStyle w:val="Compact"/>
              <w:jc w:val="left"/>
            </w:pPr>
            <w:r>
              <w:t xml:space="preserve">1.0</w:t>
            </w:r>
          </w:p>
        </w:tc>
      </w:tr>
      <w:tr>
        <w:tc>
          <w:p>
            <w:pPr>
              <w:pStyle w:val="Compact"/>
              <w:jc w:val="left"/>
            </w:pPr>
            <w:r>
              <w:rPr>
                <w:b/>
              </w:rPr>
              <w:t xml:space="preserve">1.7</w:t>
            </w:r>
          </w:p>
        </w:tc>
        <w:tc>
          <w:p>
            <w:pPr>
              <w:pStyle w:val="Compact"/>
              <w:jc w:val="left"/>
            </w:pPr>
            <w:r>
              <w:t xml:space="preserve">All security controls have a centralized implementation.</w:t>
            </w:r>
          </w:p>
        </w:tc>
        <w:tc>
          <w:p>
            <w:pPr>
              <w:pStyle w:val="Compact"/>
            </w:pP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w:t>
            </w:r>
          </w:p>
        </w:tc>
        <w:tc>
          <w:p>
            <w:pPr>
              <w:pStyle w:val="Compact"/>
              <w:jc w:val="left"/>
            </w:pPr>
            <w:r>
              <w:t xml:space="preserve">Components are segregated from each other via a defined security control, such as network segmentation, firewall rules, or cloud based security groups.</w:t>
            </w:r>
          </w:p>
        </w:tc>
        <w:tc>
          <w:p>
            <w:pPr>
              <w:pStyle w:val="Compact"/>
            </w:pP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1.9</w:t>
            </w:r>
          </w:p>
        </w:tc>
        <w:tc>
          <w:p>
            <w:pPr>
              <w:pStyle w:val="Compact"/>
              <w:jc w:val="left"/>
            </w:pPr>
            <w:r>
              <w:t xml:space="preserve">A mechanism for enforcing updates of the application exists.</w:t>
            </w:r>
          </w:p>
        </w:tc>
        <w:tc>
          <w:p>
            <w:pPr>
              <w:pStyle w:val="Compact"/>
            </w:pP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1.10</w:t>
            </w:r>
          </w:p>
        </w:tc>
        <w:tc>
          <w:p>
            <w:pPr>
              <w:pStyle w:val="Compact"/>
              <w:jc w:val="left"/>
            </w:pPr>
            <w:r>
              <w:t xml:space="preserve">Security is addressed within all parts of the software development lifecycle.</w:t>
            </w:r>
          </w:p>
        </w:tc>
        <w:tc>
          <w:p>
            <w:pPr>
              <w:pStyle w:val="Compact"/>
            </w:pP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1.11</w:t>
            </w:r>
          </w:p>
        </w:tc>
        <w:tc>
          <w:p>
            <w:pPr>
              <w:pStyle w:val="Compact"/>
              <w:jc w:val="left"/>
            </w:pPr>
            <w:r>
              <w:t xml:space="preserve">all application components, libraries, modules, frameworks, platform, and operating systems are free from known vulnerabilities</w:t>
            </w:r>
          </w:p>
        </w:tc>
        <w:tc>
          <w:p>
            <w:pPr>
              <w:pStyle w:val="Compact"/>
            </w:pP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1.12</w:t>
            </w:r>
          </w:p>
        </w:tc>
        <w:tc>
          <w:p>
            <w:pPr>
              <w:pStyle w:val="Compact"/>
              <w:jc w:val="left"/>
            </w:pPr>
            <w:r>
              <w:t xml:space="preserve">There is an explicit policy for how cryptographic keys (if any) are managed, and the lifecycle of cryptographic keys is enforced. Ideally, follow a key management standard such as NIST SP 800-57.</w:t>
            </w:r>
          </w:p>
        </w:tc>
        <w:tc>
          <w:p>
            <w:pPr>
              <w:pStyle w:val="Compact"/>
            </w:pPr>
          </w:p>
        </w:tc>
        <w:tc>
          <w:p>
            <w:pPr>
              <w:pStyle w:val="Compact"/>
              <w:jc w:val="left"/>
            </w:pPr>
            <w:r>
              <w:t xml:space="preserve">✓</w:t>
            </w:r>
          </w:p>
        </w:tc>
        <w:tc>
          <w:p>
            <w:pPr>
              <w:pStyle w:val="Compact"/>
              <w:jc w:val="left"/>
            </w:pPr>
            <w:r>
              <w:t xml:space="preserve">✓</w:t>
            </w:r>
          </w:p>
        </w:tc>
        <w:tc>
          <w:p>
            <w:pPr>
              <w:pStyle w:val="Compact"/>
              <w:jc w:val="left"/>
            </w:pPr>
            <w:r>
              <w:t xml:space="preserve">3.1</w:t>
            </w:r>
          </w:p>
        </w:tc>
      </w:tr>
    </w:tbl>
    <w:p>
      <w:pPr>
        <w:pStyle w:val="Heading2"/>
      </w:pPr>
      <w:bookmarkStart w:id="52" w:name="references"/>
      <w:bookmarkEnd w:id="52"/>
      <w:r>
        <w:t xml:space="preserve">References</w:t>
      </w:r>
    </w:p>
    <w:p>
      <w:pPr>
        <w:pStyle w:val="FirstParagraph"/>
      </w:pPr>
      <w:r>
        <w:t xml:space="preserve">For more information, see also:</w:t>
      </w:r>
    </w:p>
    <w:p>
      <w:pPr>
        <w:pStyle w:val="BodyText"/>
      </w:pPr>
      <w:r>
        <w:t xml:space="preserve">For more information, please see:</w:t>
      </w:r>
    </w:p>
    <w:p>
      <w:pPr>
        <w:pStyle w:val="Compact"/>
        <w:numPr>
          <w:numId w:val="1004"/>
          <w:ilvl w:val="0"/>
        </w:numPr>
      </w:pPr>
      <w:hyperlink r:id="rId53">
        <w:r>
          <w:rPr>
            <w:rStyle w:val="Hyperlink"/>
          </w:rPr>
          <w:t xml:space="preserve">OWASP Threat Modeling Cheat Sheet</w:t>
        </w:r>
      </w:hyperlink>
    </w:p>
    <w:p>
      <w:pPr>
        <w:pStyle w:val="Compact"/>
        <w:numPr>
          <w:numId w:val="1004"/>
          <w:ilvl w:val="0"/>
        </w:numPr>
      </w:pPr>
      <w:hyperlink r:id="rId54">
        <w:r>
          <w:rPr>
            <w:rStyle w:val="Hyperlink"/>
          </w:rPr>
          <w:t xml:space="preserve">OWASP Attack Surface Analysis Cheat Sheet</w:t>
        </w:r>
      </w:hyperlink>
    </w:p>
    <w:p>
      <w:pPr>
        <w:pStyle w:val="Compact"/>
        <w:numPr>
          <w:numId w:val="1004"/>
          <w:ilvl w:val="0"/>
        </w:numPr>
      </w:pPr>
      <w:hyperlink r:id="rId53">
        <w:r>
          <w:rPr>
            <w:rStyle w:val="Hyperlink"/>
          </w:rPr>
          <w:t xml:space="preserve">OWASP Security Architecture Cheat Sheet</w:t>
        </w:r>
      </w:hyperlink>
    </w:p>
    <w:p>
      <w:pPr>
        <w:pStyle w:val="Compact"/>
        <w:numPr>
          <w:numId w:val="1004"/>
          <w:ilvl w:val="0"/>
        </w:numPr>
      </w:pPr>
      <w:hyperlink r:id="rId55">
        <w:r>
          <w:rPr>
            <w:rStyle w:val="Hyperlink"/>
          </w:rPr>
          <w:t xml:space="preserve">OWASP Thread modelling</w:t>
        </w:r>
      </w:hyperlink>
    </w:p>
    <w:p>
      <w:pPr>
        <w:pStyle w:val="Compact"/>
        <w:numPr>
          <w:numId w:val="1004"/>
          <w:ilvl w:val="0"/>
        </w:numPr>
      </w:pPr>
      <w:hyperlink r:id="rId56">
        <w:r>
          <w:rPr>
            <w:rStyle w:val="Hyperlink"/>
          </w:rPr>
          <w:t xml:space="preserve">OWASP Secure SDLC Cheat Sheet</w:t>
        </w:r>
      </w:hyperlink>
    </w:p>
    <w:p>
      <w:pPr>
        <w:pStyle w:val="Compact"/>
        <w:numPr>
          <w:numId w:val="1004"/>
          <w:ilvl w:val="0"/>
        </w:numPr>
      </w:pPr>
      <w:hyperlink r:id="rId57">
        <w:r>
          <w:rPr>
            <w:rStyle w:val="Hyperlink"/>
          </w:rPr>
          <w:t xml:space="preserve">Microsoft SDL</w:t>
        </w:r>
      </w:hyperlink>
    </w:p>
    <w:p>
      <w:pPr>
        <w:pStyle w:val="Compact"/>
        <w:numPr>
          <w:numId w:val="1004"/>
          <w:ilvl w:val="0"/>
        </w:numPr>
      </w:pPr>
      <w:hyperlink r:id="rId58">
        <w:r>
          <w:rPr>
            <w:rStyle w:val="Hyperlink"/>
          </w:rPr>
          <w:t xml:space="preserve">NIST SP 800-57</w:t>
        </w:r>
      </w:hyperlink>
    </w:p>
    <w:p>
      <w:pPr>
        <w:pStyle w:val="Heading1"/>
      </w:pPr>
      <w:bookmarkStart w:id="59" w:name="v2-authentication-verification-requirements"/>
      <w:bookmarkEnd w:id="59"/>
      <w:r>
        <w:t xml:space="preserve">V2: Authentication Verification Requirements</w:t>
      </w:r>
    </w:p>
    <w:p>
      <w:pPr>
        <w:pStyle w:val="Heading2"/>
      </w:pPr>
      <w:bookmarkStart w:id="60" w:name="control-objective-1"/>
      <w:bookmarkEnd w:id="60"/>
      <w:r>
        <w:t xml:space="preserve">Control Objective</w:t>
      </w:r>
    </w:p>
    <w:p>
      <w:pPr>
        <w:pStyle w:val="FirstParagraph"/>
      </w:pPr>
      <w:r>
        <w:t xml:space="preserve">TBA.</w:t>
      </w:r>
    </w:p>
    <w:p>
      <w:pPr>
        <w:pStyle w:val="Heading2"/>
      </w:pPr>
      <w:bookmarkStart w:id="61" w:name="security-verification-requirements-1"/>
      <w:bookmarkEnd w:id="61"/>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62" w:name="references-1"/>
      <w:bookmarkEnd w:id="62"/>
      <w:r>
        <w:t xml:space="preserve">References</w:t>
      </w:r>
    </w:p>
    <w:p>
      <w:pPr>
        <w:pStyle w:val="FirstParagraph"/>
      </w:pPr>
      <w:r>
        <w:t xml:space="preserve">For more information, see also:</w:t>
      </w:r>
    </w:p>
    <w:p>
      <w:pPr>
        <w:pStyle w:val="Compact"/>
        <w:numPr>
          <w:numId w:val="1005"/>
          <w:ilvl w:val="0"/>
        </w:numPr>
      </w:pPr>
      <w:hyperlink r:id="rId63">
        <w:r>
          <w:rPr>
            <w:rStyle w:val="Hyperlink"/>
          </w:rPr>
          <w:t xml:space="preserve">TBA</w:t>
        </w:r>
      </w:hyperlink>
    </w:p>
    <w:p>
      <w:pPr>
        <w:pStyle w:val="Compact"/>
        <w:numPr>
          <w:numId w:val="1005"/>
          <w:ilvl w:val="0"/>
        </w:numPr>
      </w:pPr>
      <w:hyperlink r:id="rId63">
        <w:r>
          <w:rPr>
            <w:rStyle w:val="Hyperlink"/>
          </w:rPr>
          <w:t xml:space="preserve">TBA</w:t>
        </w:r>
      </w:hyperlink>
    </w:p>
    <w:p>
      <w:pPr>
        <w:pStyle w:val="Compact"/>
        <w:numPr>
          <w:numId w:val="1005"/>
          <w:ilvl w:val="0"/>
        </w:numPr>
      </w:pPr>
      <w:hyperlink r:id="rId63">
        <w:r>
          <w:rPr>
            <w:rStyle w:val="Hyperlink"/>
          </w:rPr>
          <w:t xml:space="preserve">TBA</w:t>
        </w:r>
      </w:hyperlink>
    </w:p>
    <w:p>
      <w:pPr>
        <w:pStyle w:val="Compact"/>
        <w:numPr>
          <w:numId w:val="1005"/>
          <w:ilvl w:val="0"/>
        </w:numPr>
      </w:pPr>
      <w:hyperlink r:id="rId63">
        <w:r>
          <w:rPr>
            <w:rStyle w:val="Hyperlink"/>
          </w:rPr>
          <w:t xml:space="preserve">TBA</w:t>
        </w:r>
      </w:hyperlink>
    </w:p>
    <w:p>
      <w:pPr>
        <w:pStyle w:val="Compact"/>
        <w:numPr>
          <w:numId w:val="1005"/>
          <w:ilvl w:val="0"/>
        </w:numPr>
      </w:pPr>
      <w:hyperlink r:id="rId63">
        <w:r>
          <w:rPr>
            <w:rStyle w:val="Hyperlink"/>
          </w:rPr>
          <w:t xml:space="preserve">TBA</w:t>
        </w:r>
      </w:hyperlink>
    </w:p>
    <w:p>
      <w:pPr>
        <w:pStyle w:val="Compact"/>
        <w:numPr>
          <w:numId w:val="1005"/>
          <w:ilvl w:val="0"/>
        </w:numPr>
      </w:pPr>
      <w:hyperlink r:id="rId63">
        <w:r>
          <w:rPr>
            <w:rStyle w:val="Hyperlink"/>
          </w:rPr>
          <w:t xml:space="preserve">TBA</w:t>
        </w:r>
      </w:hyperlink>
    </w:p>
    <w:p>
      <w:pPr>
        <w:pStyle w:val="Compact"/>
        <w:numPr>
          <w:numId w:val="1005"/>
          <w:ilvl w:val="0"/>
        </w:numPr>
      </w:pPr>
      <w:hyperlink r:id="rId63">
        <w:r>
          <w:rPr>
            <w:rStyle w:val="Hyperlink"/>
          </w:rPr>
          <w:t xml:space="preserve">TBA</w:t>
        </w:r>
      </w:hyperlink>
    </w:p>
    <w:p>
      <w:pPr>
        <w:pStyle w:val="Compact"/>
        <w:numPr>
          <w:numId w:val="1005"/>
          <w:ilvl w:val="0"/>
        </w:numPr>
      </w:pPr>
      <w:hyperlink r:id="rId63">
        <w:r>
          <w:rPr>
            <w:rStyle w:val="Hyperlink"/>
          </w:rPr>
          <w:t xml:space="preserve">TBA</w:t>
        </w:r>
      </w:hyperlink>
    </w:p>
    <w:p>
      <w:pPr>
        <w:pStyle w:val="Heading1"/>
      </w:pPr>
      <w:bookmarkStart w:id="64" w:name="v3-session-management-verification-requirements"/>
      <w:bookmarkEnd w:id="64"/>
      <w:r>
        <w:t xml:space="preserve">V3: Session Management Verification Requirements</w:t>
      </w:r>
    </w:p>
    <w:p>
      <w:pPr>
        <w:pStyle w:val="Heading2"/>
      </w:pPr>
      <w:bookmarkStart w:id="65" w:name="control-objective-2"/>
      <w:bookmarkEnd w:id="65"/>
      <w:r>
        <w:t xml:space="preserve">Control Objective</w:t>
      </w:r>
    </w:p>
    <w:p>
      <w:pPr>
        <w:pStyle w:val="FirstParagraph"/>
      </w:pPr>
      <w:r>
        <w:t xml:space="preserve">TBA.</w:t>
      </w:r>
    </w:p>
    <w:p>
      <w:pPr>
        <w:pStyle w:val="Heading2"/>
      </w:pPr>
      <w:bookmarkStart w:id="66" w:name="security-verification-requirements-2"/>
      <w:bookmarkEnd w:id="66"/>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67" w:name="references-2"/>
      <w:bookmarkEnd w:id="67"/>
      <w:r>
        <w:t xml:space="preserve">References</w:t>
      </w:r>
    </w:p>
    <w:p>
      <w:pPr>
        <w:pStyle w:val="FirstParagraph"/>
      </w:pPr>
      <w:r>
        <w:t xml:space="preserve">For more information, see also:</w:t>
      </w:r>
    </w:p>
    <w:p>
      <w:pPr>
        <w:pStyle w:val="Compact"/>
        <w:numPr>
          <w:numId w:val="1006"/>
          <w:ilvl w:val="0"/>
        </w:numPr>
      </w:pPr>
      <w:hyperlink r:id="rId63">
        <w:r>
          <w:rPr>
            <w:rStyle w:val="Hyperlink"/>
          </w:rPr>
          <w:t xml:space="preserve">TBA</w:t>
        </w:r>
      </w:hyperlink>
    </w:p>
    <w:p>
      <w:pPr>
        <w:pStyle w:val="Compact"/>
        <w:numPr>
          <w:numId w:val="1006"/>
          <w:ilvl w:val="0"/>
        </w:numPr>
      </w:pPr>
      <w:hyperlink r:id="rId63">
        <w:r>
          <w:rPr>
            <w:rStyle w:val="Hyperlink"/>
          </w:rPr>
          <w:t xml:space="preserve">TBA</w:t>
        </w:r>
      </w:hyperlink>
    </w:p>
    <w:p>
      <w:pPr>
        <w:pStyle w:val="Compact"/>
        <w:numPr>
          <w:numId w:val="1006"/>
          <w:ilvl w:val="0"/>
        </w:numPr>
      </w:pPr>
      <w:hyperlink r:id="rId63">
        <w:r>
          <w:rPr>
            <w:rStyle w:val="Hyperlink"/>
          </w:rPr>
          <w:t xml:space="preserve">TBA</w:t>
        </w:r>
      </w:hyperlink>
    </w:p>
    <w:p>
      <w:pPr>
        <w:pStyle w:val="Compact"/>
        <w:numPr>
          <w:numId w:val="1006"/>
          <w:ilvl w:val="0"/>
        </w:numPr>
      </w:pPr>
      <w:hyperlink r:id="rId63">
        <w:r>
          <w:rPr>
            <w:rStyle w:val="Hyperlink"/>
          </w:rPr>
          <w:t xml:space="preserve">TBA</w:t>
        </w:r>
      </w:hyperlink>
    </w:p>
    <w:p>
      <w:pPr>
        <w:pStyle w:val="Compact"/>
        <w:numPr>
          <w:numId w:val="1006"/>
          <w:ilvl w:val="0"/>
        </w:numPr>
      </w:pPr>
      <w:hyperlink r:id="rId63">
        <w:r>
          <w:rPr>
            <w:rStyle w:val="Hyperlink"/>
          </w:rPr>
          <w:t xml:space="preserve">TBA</w:t>
        </w:r>
      </w:hyperlink>
    </w:p>
    <w:p>
      <w:pPr>
        <w:pStyle w:val="Compact"/>
        <w:numPr>
          <w:numId w:val="1006"/>
          <w:ilvl w:val="0"/>
        </w:numPr>
      </w:pPr>
      <w:hyperlink r:id="rId63">
        <w:r>
          <w:rPr>
            <w:rStyle w:val="Hyperlink"/>
          </w:rPr>
          <w:t xml:space="preserve">TBA</w:t>
        </w:r>
      </w:hyperlink>
    </w:p>
    <w:p>
      <w:pPr>
        <w:pStyle w:val="Compact"/>
        <w:numPr>
          <w:numId w:val="1006"/>
          <w:ilvl w:val="0"/>
        </w:numPr>
      </w:pPr>
      <w:hyperlink r:id="rId63">
        <w:r>
          <w:rPr>
            <w:rStyle w:val="Hyperlink"/>
          </w:rPr>
          <w:t xml:space="preserve">TBA</w:t>
        </w:r>
      </w:hyperlink>
    </w:p>
    <w:p>
      <w:pPr>
        <w:pStyle w:val="Compact"/>
        <w:numPr>
          <w:numId w:val="1006"/>
          <w:ilvl w:val="0"/>
        </w:numPr>
      </w:pPr>
      <w:hyperlink r:id="rId63">
        <w:r>
          <w:rPr>
            <w:rStyle w:val="Hyperlink"/>
          </w:rPr>
          <w:t xml:space="preserve">TBA</w:t>
        </w:r>
      </w:hyperlink>
    </w:p>
    <w:p>
      <w:pPr>
        <w:pStyle w:val="Heading1"/>
      </w:pPr>
      <w:bookmarkStart w:id="68" w:name="v4-access-control-verification-requirements"/>
      <w:bookmarkEnd w:id="68"/>
      <w:r>
        <w:t xml:space="preserve">V4: Access Control Verification Requirements</w:t>
      </w:r>
    </w:p>
    <w:p>
      <w:pPr>
        <w:pStyle w:val="Heading2"/>
      </w:pPr>
      <w:bookmarkStart w:id="69" w:name="control-objective-3"/>
      <w:bookmarkEnd w:id="69"/>
      <w:r>
        <w:t xml:space="preserve">Control Objective</w:t>
      </w:r>
    </w:p>
    <w:p>
      <w:pPr>
        <w:pStyle w:val="FirstParagraph"/>
      </w:pPr>
      <w:r>
        <w:t xml:space="preserve">TBA.</w:t>
      </w:r>
    </w:p>
    <w:p>
      <w:pPr>
        <w:pStyle w:val="Heading2"/>
      </w:pPr>
      <w:bookmarkStart w:id="70" w:name="security-verification-requirements-3"/>
      <w:bookmarkEnd w:id="70"/>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71" w:name="references-3"/>
      <w:bookmarkEnd w:id="71"/>
      <w:r>
        <w:t xml:space="preserve">References</w:t>
      </w:r>
    </w:p>
    <w:p>
      <w:pPr>
        <w:pStyle w:val="FirstParagraph"/>
      </w:pPr>
      <w:r>
        <w:t xml:space="preserve">For more information, see also:</w:t>
      </w:r>
    </w:p>
    <w:p>
      <w:pPr>
        <w:pStyle w:val="Compact"/>
        <w:numPr>
          <w:numId w:val="1007"/>
          <w:ilvl w:val="0"/>
        </w:numPr>
      </w:pPr>
      <w:hyperlink r:id="rId63">
        <w:r>
          <w:rPr>
            <w:rStyle w:val="Hyperlink"/>
          </w:rPr>
          <w:t xml:space="preserve">TBA</w:t>
        </w:r>
      </w:hyperlink>
    </w:p>
    <w:p>
      <w:pPr>
        <w:pStyle w:val="Compact"/>
        <w:numPr>
          <w:numId w:val="1007"/>
          <w:ilvl w:val="0"/>
        </w:numPr>
      </w:pPr>
      <w:hyperlink r:id="rId63">
        <w:r>
          <w:rPr>
            <w:rStyle w:val="Hyperlink"/>
          </w:rPr>
          <w:t xml:space="preserve">TBA</w:t>
        </w:r>
      </w:hyperlink>
    </w:p>
    <w:p>
      <w:pPr>
        <w:pStyle w:val="Compact"/>
        <w:numPr>
          <w:numId w:val="1007"/>
          <w:ilvl w:val="0"/>
        </w:numPr>
      </w:pPr>
      <w:hyperlink r:id="rId63">
        <w:r>
          <w:rPr>
            <w:rStyle w:val="Hyperlink"/>
          </w:rPr>
          <w:t xml:space="preserve">TBA</w:t>
        </w:r>
      </w:hyperlink>
    </w:p>
    <w:p>
      <w:pPr>
        <w:pStyle w:val="Compact"/>
        <w:numPr>
          <w:numId w:val="1007"/>
          <w:ilvl w:val="0"/>
        </w:numPr>
      </w:pPr>
      <w:hyperlink r:id="rId63">
        <w:r>
          <w:rPr>
            <w:rStyle w:val="Hyperlink"/>
          </w:rPr>
          <w:t xml:space="preserve">TBA</w:t>
        </w:r>
      </w:hyperlink>
    </w:p>
    <w:p>
      <w:pPr>
        <w:pStyle w:val="Compact"/>
        <w:numPr>
          <w:numId w:val="1007"/>
          <w:ilvl w:val="0"/>
        </w:numPr>
      </w:pPr>
      <w:hyperlink r:id="rId63">
        <w:r>
          <w:rPr>
            <w:rStyle w:val="Hyperlink"/>
          </w:rPr>
          <w:t xml:space="preserve">TBA</w:t>
        </w:r>
      </w:hyperlink>
    </w:p>
    <w:p>
      <w:pPr>
        <w:pStyle w:val="Compact"/>
        <w:numPr>
          <w:numId w:val="1007"/>
          <w:ilvl w:val="0"/>
        </w:numPr>
      </w:pPr>
      <w:hyperlink r:id="rId63">
        <w:r>
          <w:rPr>
            <w:rStyle w:val="Hyperlink"/>
          </w:rPr>
          <w:t xml:space="preserve">TBA</w:t>
        </w:r>
      </w:hyperlink>
    </w:p>
    <w:p>
      <w:pPr>
        <w:pStyle w:val="Compact"/>
        <w:numPr>
          <w:numId w:val="1007"/>
          <w:ilvl w:val="0"/>
        </w:numPr>
      </w:pPr>
      <w:hyperlink r:id="rId63">
        <w:r>
          <w:rPr>
            <w:rStyle w:val="Hyperlink"/>
          </w:rPr>
          <w:t xml:space="preserve">TBA</w:t>
        </w:r>
      </w:hyperlink>
    </w:p>
    <w:p>
      <w:pPr>
        <w:pStyle w:val="Compact"/>
        <w:numPr>
          <w:numId w:val="1007"/>
          <w:ilvl w:val="0"/>
        </w:numPr>
      </w:pPr>
      <w:hyperlink r:id="rId63">
        <w:r>
          <w:rPr>
            <w:rStyle w:val="Hyperlink"/>
          </w:rPr>
          <w:t xml:space="preserve">TBA</w:t>
        </w:r>
      </w:hyperlink>
    </w:p>
    <w:p>
      <w:pPr>
        <w:pStyle w:val="Heading1"/>
      </w:pPr>
      <w:bookmarkStart w:id="72" w:name="v5-input-validation-and-output-encoding-verification-requirements"/>
      <w:bookmarkEnd w:id="72"/>
      <w:r>
        <w:t xml:space="preserve">V5: Input Validation and Output Encoding Verification Requirements</w:t>
      </w:r>
    </w:p>
    <w:p>
      <w:pPr>
        <w:pStyle w:val="Heading2"/>
      </w:pPr>
      <w:bookmarkStart w:id="73" w:name="control-objective-4"/>
      <w:bookmarkEnd w:id="73"/>
      <w:r>
        <w:t xml:space="preserve">Control Objective</w:t>
      </w:r>
    </w:p>
    <w:p>
      <w:pPr>
        <w:pStyle w:val="FirstParagraph"/>
      </w:pPr>
      <w:r>
        <w:t xml:space="preserve">TBA.</w:t>
      </w:r>
    </w:p>
    <w:p>
      <w:pPr>
        <w:pStyle w:val="Heading2"/>
      </w:pPr>
      <w:bookmarkStart w:id="74" w:name="security-verification-requirements-4"/>
      <w:bookmarkEnd w:id="7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75" w:name="references-4"/>
      <w:bookmarkEnd w:id="75"/>
      <w:r>
        <w:t xml:space="preserve">References</w:t>
      </w:r>
    </w:p>
    <w:p>
      <w:pPr>
        <w:pStyle w:val="FirstParagraph"/>
      </w:pPr>
      <w:r>
        <w:t xml:space="preserve">For more information, see also:</w:t>
      </w:r>
    </w:p>
    <w:p>
      <w:pPr>
        <w:pStyle w:val="Compact"/>
        <w:numPr>
          <w:numId w:val="1008"/>
          <w:ilvl w:val="0"/>
        </w:numPr>
      </w:pPr>
      <w:hyperlink r:id="rId63">
        <w:r>
          <w:rPr>
            <w:rStyle w:val="Hyperlink"/>
          </w:rPr>
          <w:t xml:space="preserve">TBA</w:t>
        </w:r>
      </w:hyperlink>
    </w:p>
    <w:p>
      <w:pPr>
        <w:pStyle w:val="Compact"/>
        <w:numPr>
          <w:numId w:val="1008"/>
          <w:ilvl w:val="0"/>
        </w:numPr>
      </w:pPr>
      <w:hyperlink r:id="rId63">
        <w:r>
          <w:rPr>
            <w:rStyle w:val="Hyperlink"/>
          </w:rPr>
          <w:t xml:space="preserve">TBA</w:t>
        </w:r>
      </w:hyperlink>
    </w:p>
    <w:p>
      <w:pPr>
        <w:pStyle w:val="Compact"/>
        <w:numPr>
          <w:numId w:val="1008"/>
          <w:ilvl w:val="0"/>
        </w:numPr>
      </w:pPr>
      <w:hyperlink r:id="rId63">
        <w:r>
          <w:rPr>
            <w:rStyle w:val="Hyperlink"/>
          </w:rPr>
          <w:t xml:space="preserve">TBA</w:t>
        </w:r>
      </w:hyperlink>
    </w:p>
    <w:p>
      <w:pPr>
        <w:pStyle w:val="Compact"/>
        <w:numPr>
          <w:numId w:val="1008"/>
          <w:ilvl w:val="0"/>
        </w:numPr>
      </w:pPr>
      <w:hyperlink r:id="rId63">
        <w:r>
          <w:rPr>
            <w:rStyle w:val="Hyperlink"/>
          </w:rPr>
          <w:t xml:space="preserve">TBA</w:t>
        </w:r>
      </w:hyperlink>
    </w:p>
    <w:p>
      <w:pPr>
        <w:pStyle w:val="Compact"/>
        <w:numPr>
          <w:numId w:val="1008"/>
          <w:ilvl w:val="0"/>
        </w:numPr>
      </w:pPr>
      <w:hyperlink r:id="rId63">
        <w:r>
          <w:rPr>
            <w:rStyle w:val="Hyperlink"/>
          </w:rPr>
          <w:t xml:space="preserve">TBA</w:t>
        </w:r>
      </w:hyperlink>
    </w:p>
    <w:p>
      <w:pPr>
        <w:pStyle w:val="Compact"/>
        <w:numPr>
          <w:numId w:val="1008"/>
          <w:ilvl w:val="0"/>
        </w:numPr>
      </w:pPr>
      <w:hyperlink r:id="rId63">
        <w:r>
          <w:rPr>
            <w:rStyle w:val="Hyperlink"/>
          </w:rPr>
          <w:t xml:space="preserve">TBA</w:t>
        </w:r>
      </w:hyperlink>
    </w:p>
    <w:p>
      <w:pPr>
        <w:pStyle w:val="Compact"/>
        <w:numPr>
          <w:numId w:val="1008"/>
          <w:ilvl w:val="0"/>
        </w:numPr>
      </w:pPr>
      <w:hyperlink r:id="rId63">
        <w:r>
          <w:rPr>
            <w:rStyle w:val="Hyperlink"/>
          </w:rPr>
          <w:t xml:space="preserve">TBA</w:t>
        </w:r>
      </w:hyperlink>
    </w:p>
    <w:p>
      <w:pPr>
        <w:pStyle w:val="Compact"/>
        <w:numPr>
          <w:numId w:val="1008"/>
          <w:ilvl w:val="0"/>
        </w:numPr>
      </w:pPr>
      <w:hyperlink r:id="rId63">
        <w:r>
          <w:rPr>
            <w:rStyle w:val="Hyperlink"/>
          </w:rPr>
          <w:t xml:space="preserve">TBA</w:t>
        </w:r>
      </w:hyperlink>
    </w:p>
    <w:p>
      <w:pPr>
        <w:pStyle w:val="Heading1"/>
      </w:pPr>
      <w:bookmarkStart w:id="76" w:name="v7-cryptography-verification-requirements"/>
      <w:bookmarkEnd w:id="76"/>
      <w:r>
        <w:t xml:space="preserve">V7: Cryptography Verification Requirements</w:t>
      </w:r>
    </w:p>
    <w:p>
      <w:pPr>
        <w:pStyle w:val="Heading2"/>
      </w:pPr>
      <w:bookmarkStart w:id="77" w:name="control-objective-5"/>
      <w:bookmarkEnd w:id="77"/>
      <w:r>
        <w:t xml:space="preserve">Control Objective</w:t>
      </w:r>
    </w:p>
    <w:p>
      <w:pPr>
        <w:pStyle w:val="FirstParagraph"/>
      </w:pPr>
      <w:r>
        <w:t xml:space="preserve">TBA.</w:t>
      </w:r>
    </w:p>
    <w:p>
      <w:pPr>
        <w:pStyle w:val="Heading2"/>
      </w:pPr>
      <w:bookmarkStart w:id="78" w:name="security-verification-requirements-5"/>
      <w:bookmarkEnd w:id="78"/>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79" w:name="references-5"/>
      <w:bookmarkEnd w:id="79"/>
      <w:r>
        <w:t xml:space="preserve">References</w:t>
      </w:r>
    </w:p>
    <w:p>
      <w:pPr>
        <w:pStyle w:val="FirstParagraph"/>
      </w:pPr>
      <w:r>
        <w:t xml:space="preserve">For more information, see also:</w:t>
      </w:r>
    </w:p>
    <w:p>
      <w:pPr>
        <w:pStyle w:val="Compact"/>
        <w:numPr>
          <w:numId w:val="1009"/>
          <w:ilvl w:val="0"/>
        </w:numPr>
      </w:pPr>
      <w:hyperlink r:id="rId63">
        <w:r>
          <w:rPr>
            <w:rStyle w:val="Hyperlink"/>
          </w:rPr>
          <w:t xml:space="preserve">TBA</w:t>
        </w:r>
      </w:hyperlink>
    </w:p>
    <w:p>
      <w:pPr>
        <w:pStyle w:val="Compact"/>
        <w:numPr>
          <w:numId w:val="1009"/>
          <w:ilvl w:val="0"/>
        </w:numPr>
      </w:pPr>
      <w:hyperlink r:id="rId63">
        <w:r>
          <w:rPr>
            <w:rStyle w:val="Hyperlink"/>
          </w:rPr>
          <w:t xml:space="preserve">TBA</w:t>
        </w:r>
      </w:hyperlink>
    </w:p>
    <w:p>
      <w:pPr>
        <w:pStyle w:val="Compact"/>
        <w:numPr>
          <w:numId w:val="1009"/>
          <w:ilvl w:val="0"/>
        </w:numPr>
      </w:pPr>
      <w:hyperlink r:id="rId63">
        <w:r>
          <w:rPr>
            <w:rStyle w:val="Hyperlink"/>
          </w:rPr>
          <w:t xml:space="preserve">TBA</w:t>
        </w:r>
      </w:hyperlink>
    </w:p>
    <w:p>
      <w:pPr>
        <w:pStyle w:val="Compact"/>
        <w:numPr>
          <w:numId w:val="1009"/>
          <w:ilvl w:val="0"/>
        </w:numPr>
      </w:pPr>
      <w:hyperlink r:id="rId63">
        <w:r>
          <w:rPr>
            <w:rStyle w:val="Hyperlink"/>
          </w:rPr>
          <w:t xml:space="preserve">TBA</w:t>
        </w:r>
      </w:hyperlink>
    </w:p>
    <w:p>
      <w:pPr>
        <w:pStyle w:val="Compact"/>
        <w:numPr>
          <w:numId w:val="1009"/>
          <w:ilvl w:val="0"/>
        </w:numPr>
      </w:pPr>
      <w:hyperlink r:id="rId63">
        <w:r>
          <w:rPr>
            <w:rStyle w:val="Hyperlink"/>
          </w:rPr>
          <w:t xml:space="preserve">TBA</w:t>
        </w:r>
      </w:hyperlink>
    </w:p>
    <w:p>
      <w:pPr>
        <w:pStyle w:val="Compact"/>
        <w:numPr>
          <w:numId w:val="1009"/>
          <w:ilvl w:val="0"/>
        </w:numPr>
      </w:pPr>
      <w:hyperlink r:id="rId63">
        <w:r>
          <w:rPr>
            <w:rStyle w:val="Hyperlink"/>
          </w:rPr>
          <w:t xml:space="preserve">TBA</w:t>
        </w:r>
      </w:hyperlink>
    </w:p>
    <w:p>
      <w:pPr>
        <w:pStyle w:val="Compact"/>
        <w:numPr>
          <w:numId w:val="1009"/>
          <w:ilvl w:val="0"/>
        </w:numPr>
      </w:pPr>
      <w:hyperlink r:id="rId63">
        <w:r>
          <w:rPr>
            <w:rStyle w:val="Hyperlink"/>
          </w:rPr>
          <w:t xml:space="preserve">TBA</w:t>
        </w:r>
      </w:hyperlink>
    </w:p>
    <w:p>
      <w:pPr>
        <w:pStyle w:val="Compact"/>
        <w:numPr>
          <w:numId w:val="1009"/>
          <w:ilvl w:val="0"/>
        </w:numPr>
      </w:pPr>
      <w:hyperlink r:id="rId63">
        <w:r>
          <w:rPr>
            <w:rStyle w:val="Hyperlink"/>
          </w:rPr>
          <w:t xml:space="preserve">TBA</w:t>
        </w:r>
      </w:hyperlink>
    </w:p>
    <w:p>
      <w:pPr>
        <w:pStyle w:val="Heading1"/>
      </w:pPr>
      <w:bookmarkStart w:id="80" w:name="v8-error-handling-and-logging-verification-requirements"/>
      <w:bookmarkEnd w:id="80"/>
      <w:r>
        <w:t xml:space="preserve">V8: Error Handling and Logging Verification Requirements</w:t>
      </w:r>
    </w:p>
    <w:p>
      <w:pPr>
        <w:pStyle w:val="Heading2"/>
      </w:pPr>
      <w:bookmarkStart w:id="81" w:name="control-objective-6"/>
      <w:bookmarkEnd w:id="81"/>
      <w:r>
        <w:t xml:space="preserve">Control Objective</w:t>
      </w:r>
    </w:p>
    <w:p>
      <w:pPr>
        <w:pStyle w:val="FirstParagraph"/>
      </w:pPr>
      <w:r>
        <w:t xml:space="preserve">TBA.</w:t>
      </w:r>
    </w:p>
    <w:p>
      <w:pPr>
        <w:pStyle w:val="Heading2"/>
      </w:pPr>
      <w:bookmarkStart w:id="82" w:name="security-verification-requirements-6"/>
      <w:bookmarkEnd w:id="8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83" w:name="references-6"/>
      <w:bookmarkEnd w:id="83"/>
      <w:r>
        <w:t xml:space="preserve">References</w:t>
      </w:r>
    </w:p>
    <w:p>
      <w:pPr>
        <w:pStyle w:val="FirstParagraph"/>
      </w:pPr>
      <w:r>
        <w:t xml:space="preserve">For more information, see also:</w:t>
      </w:r>
    </w:p>
    <w:p>
      <w:pPr>
        <w:pStyle w:val="Compact"/>
        <w:numPr>
          <w:numId w:val="1010"/>
          <w:ilvl w:val="0"/>
        </w:numPr>
      </w:pPr>
      <w:hyperlink r:id="rId63">
        <w:r>
          <w:rPr>
            <w:rStyle w:val="Hyperlink"/>
          </w:rPr>
          <w:t xml:space="preserve">TBA</w:t>
        </w:r>
      </w:hyperlink>
    </w:p>
    <w:p>
      <w:pPr>
        <w:pStyle w:val="Compact"/>
        <w:numPr>
          <w:numId w:val="1010"/>
          <w:ilvl w:val="0"/>
        </w:numPr>
      </w:pPr>
      <w:hyperlink r:id="rId63">
        <w:r>
          <w:rPr>
            <w:rStyle w:val="Hyperlink"/>
          </w:rPr>
          <w:t xml:space="preserve">TBA</w:t>
        </w:r>
      </w:hyperlink>
    </w:p>
    <w:p>
      <w:pPr>
        <w:pStyle w:val="Compact"/>
        <w:numPr>
          <w:numId w:val="1010"/>
          <w:ilvl w:val="0"/>
        </w:numPr>
      </w:pPr>
      <w:hyperlink r:id="rId63">
        <w:r>
          <w:rPr>
            <w:rStyle w:val="Hyperlink"/>
          </w:rPr>
          <w:t xml:space="preserve">TBA</w:t>
        </w:r>
      </w:hyperlink>
    </w:p>
    <w:p>
      <w:pPr>
        <w:pStyle w:val="Compact"/>
        <w:numPr>
          <w:numId w:val="1010"/>
          <w:ilvl w:val="0"/>
        </w:numPr>
      </w:pPr>
      <w:hyperlink r:id="rId63">
        <w:r>
          <w:rPr>
            <w:rStyle w:val="Hyperlink"/>
          </w:rPr>
          <w:t xml:space="preserve">TBA</w:t>
        </w:r>
      </w:hyperlink>
    </w:p>
    <w:p>
      <w:pPr>
        <w:pStyle w:val="Compact"/>
        <w:numPr>
          <w:numId w:val="1010"/>
          <w:ilvl w:val="0"/>
        </w:numPr>
      </w:pPr>
      <w:hyperlink r:id="rId63">
        <w:r>
          <w:rPr>
            <w:rStyle w:val="Hyperlink"/>
          </w:rPr>
          <w:t xml:space="preserve">TBA</w:t>
        </w:r>
      </w:hyperlink>
    </w:p>
    <w:p>
      <w:pPr>
        <w:pStyle w:val="Compact"/>
        <w:numPr>
          <w:numId w:val="1010"/>
          <w:ilvl w:val="0"/>
        </w:numPr>
      </w:pPr>
      <w:hyperlink r:id="rId63">
        <w:r>
          <w:rPr>
            <w:rStyle w:val="Hyperlink"/>
          </w:rPr>
          <w:t xml:space="preserve">TBA</w:t>
        </w:r>
      </w:hyperlink>
    </w:p>
    <w:p>
      <w:pPr>
        <w:pStyle w:val="Compact"/>
        <w:numPr>
          <w:numId w:val="1010"/>
          <w:ilvl w:val="0"/>
        </w:numPr>
      </w:pPr>
      <w:hyperlink r:id="rId63">
        <w:r>
          <w:rPr>
            <w:rStyle w:val="Hyperlink"/>
          </w:rPr>
          <w:t xml:space="preserve">TBA</w:t>
        </w:r>
      </w:hyperlink>
    </w:p>
    <w:p>
      <w:pPr>
        <w:pStyle w:val="Compact"/>
        <w:numPr>
          <w:numId w:val="1010"/>
          <w:ilvl w:val="0"/>
        </w:numPr>
      </w:pPr>
      <w:hyperlink r:id="rId63">
        <w:r>
          <w:rPr>
            <w:rStyle w:val="Hyperlink"/>
          </w:rPr>
          <w:t xml:space="preserve">TBA</w:t>
        </w:r>
      </w:hyperlink>
    </w:p>
    <w:p>
      <w:pPr>
        <w:pStyle w:val="Heading1"/>
      </w:pPr>
      <w:bookmarkStart w:id="84" w:name="v9-data-protection-verification-requirements"/>
      <w:bookmarkEnd w:id="84"/>
      <w:r>
        <w:t xml:space="preserve">V9: Data Protection Verification Requirements</w:t>
      </w:r>
    </w:p>
    <w:p>
      <w:pPr>
        <w:pStyle w:val="Heading2"/>
      </w:pPr>
      <w:bookmarkStart w:id="85" w:name="control-objective-7"/>
      <w:bookmarkEnd w:id="85"/>
      <w:r>
        <w:t xml:space="preserve">Control Objective</w:t>
      </w:r>
    </w:p>
    <w:p>
      <w:pPr>
        <w:pStyle w:val="FirstParagraph"/>
      </w:pPr>
      <w:r>
        <w:t xml:space="preserve">TBA.</w:t>
      </w:r>
    </w:p>
    <w:p>
      <w:pPr>
        <w:pStyle w:val="Heading2"/>
      </w:pPr>
      <w:bookmarkStart w:id="86" w:name="security-verification-requirements-7"/>
      <w:bookmarkEnd w:id="86"/>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87" w:name="references-7"/>
      <w:bookmarkEnd w:id="87"/>
      <w:r>
        <w:t xml:space="preserve">References</w:t>
      </w:r>
    </w:p>
    <w:p>
      <w:pPr>
        <w:pStyle w:val="FirstParagraph"/>
      </w:pPr>
      <w:r>
        <w:t xml:space="preserve">For more information, see also:</w:t>
      </w:r>
    </w:p>
    <w:p>
      <w:pPr>
        <w:pStyle w:val="Compact"/>
        <w:numPr>
          <w:numId w:val="1011"/>
          <w:ilvl w:val="0"/>
        </w:numPr>
      </w:pPr>
      <w:hyperlink r:id="rId63">
        <w:r>
          <w:rPr>
            <w:rStyle w:val="Hyperlink"/>
          </w:rPr>
          <w:t xml:space="preserve">TBA</w:t>
        </w:r>
      </w:hyperlink>
    </w:p>
    <w:p>
      <w:pPr>
        <w:pStyle w:val="Compact"/>
        <w:numPr>
          <w:numId w:val="1011"/>
          <w:ilvl w:val="0"/>
        </w:numPr>
      </w:pPr>
      <w:hyperlink r:id="rId63">
        <w:r>
          <w:rPr>
            <w:rStyle w:val="Hyperlink"/>
          </w:rPr>
          <w:t xml:space="preserve">TBA</w:t>
        </w:r>
      </w:hyperlink>
    </w:p>
    <w:p>
      <w:pPr>
        <w:pStyle w:val="Compact"/>
        <w:numPr>
          <w:numId w:val="1011"/>
          <w:ilvl w:val="0"/>
        </w:numPr>
      </w:pPr>
      <w:hyperlink r:id="rId63">
        <w:r>
          <w:rPr>
            <w:rStyle w:val="Hyperlink"/>
          </w:rPr>
          <w:t xml:space="preserve">TBA</w:t>
        </w:r>
      </w:hyperlink>
    </w:p>
    <w:p>
      <w:pPr>
        <w:pStyle w:val="Compact"/>
        <w:numPr>
          <w:numId w:val="1011"/>
          <w:ilvl w:val="0"/>
        </w:numPr>
      </w:pPr>
      <w:hyperlink r:id="rId63">
        <w:r>
          <w:rPr>
            <w:rStyle w:val="Hyperlink"/>
          </w:rPr>
          <w:t xml:space="preserve">TBA</w:t>
        </w:r>
      </w:hyperlink>
    </w:p>
    <w:p>
      <w:pPr>
        <w:pStyle w:val="Compact"/>
        <w:numPr>
          <w:numId w:val="1011"/>
          <w:ilvl w:val="0"/>
        </w:numPr>
      </w:pPr>
      <w:hyperlink r:id="rId63">
        <w:r>
          <w:rPr>
            <w:rStyle w:val="Hyperlink"/>
          </w:rPr>
          <w:t xml:space="preserve">TBA</w:t>
        </w:r>
      </w:hyperlink>
    </w:p>
    <w:p>
      <w:pPr>
        <w:pStyle w:val="Compact"/>
        <w:numPr>
          <w:numId w:val="1011"/>
          <w:ilvl w:val="0"/>
        </w:numPr>
      </w:pPr>
      <w:hyperlink r:id="rId63">
        <w:r>
          <w:rPr>
            <w:rStyle w:val="Hyperlink"/>
          </w:rPr>
          <w:t xml:space="preserve">TBA</w:t>
        </w:r>
      </w:hyperlink>
    </w:p>
    <w:p>
      <w:pPr>
        <w:pStyle w:val="Compact"/>
        <w:numPr>
          <w:numId w:val="1011"/>
          <w:ilvl w:val="0"/>
        </w:numPr>
      </w:pPr>
      <w:hyperlink r:id="rId63">
        <w:r>
          <w:rPr>
            <w:rStyle w:val="Hyperlink"/>
          </w:rPr>
          <w:t xml:space="preserve">TBA</w:t>
        </w:r>
      </w:hyperlink>
    </w:p>
    <w:p>
      <w:pPr>
        <w:pStyle w:val="Compact"/>
        <w:numPr>
          <w:numId w:val="1011"/>
          <w:ilvl w:val="0"/>
        </w:numPr>
      </w:pPr>
      <w:hyperlink r:id="rId63">
        <w:r>
          <w:rPr>
            <w:rStyle w:val="Hyperlink"/>
          </w:rPr>
          <w:t xml:space="preserve">TBA</w:t>
        </w:r>
      </w:hyperlink>
    </w:p>
    <w:p>
      <w:pPr>
        <w:pStyle w:val="Heading1"/>
      </w:pPr>
      <w:bookmarkStart w:id="88" w:name="v10-communications-verification-requirements"/>
      <w:bookmarkEnd w:id="88"/>
      <w:r>
        <w:t xml:space="preserve">V10: Communications Verification Requirements</w:t>
      </w:r>
    </w:p>
    <w:p>
      <w:pPr>
        <w:pStyle w:val="Heading2"/>
      </w:pPr>
      <w:bookmarkStart w:id="89" w:name="control-objective-8"/>
      <w:bookmarkEnd w:id="89"/>
      <w:r>
        <w:t xml:space="preserve">Control Objective</w:t>
      </w:r>
    </w:p>
    <w:p>
      <w:pPr>
        <w:pStyle w:val="FirstParagraph"/>
      </w:pPr>
      <w:r>
        <w:t xml:space="preserve">TBA.</w:t>
      </w:r>
    </w:p>
    <w:p>
      <w:pPr>
        <w:pStyle w:val="Heading2"/>
      </w:pPr>
      <w:bookmarkStart w:id="90" w:name="security-verification-requirements-8"/>
      <w:bookmarkEnd w:id="90"/>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91" w:name="references-8"/>
      <w:bookmarkEnd w:id="91"/>
      <w:r>
        <w:t xml:space="preserve">References</w:t>
      </w:r>
    </w:p>
    <w:p>
      <w:pPr>
        <w:pStyle w:val="FirstParagraph"/>
      </w:pPr>
      <w:r>
        <w:t xml:space="preserve">For more information, see also:</w:t>
      </w:r>
    </w:p>
    <w:p>
      <w:pPr>
        <w:pStyle w:val="Compact"/>
        <w:numPr>
          <w:numId w:val="1012"/>
          <w:ilvl w:val="0"/>
        </w:numPr>
      </w:pPr>
      <w:hyperlink r:id="rId63">
        <w:r>
          <w:rPr>
            <w:rStyle w:val="Hyperlink"/>
          </w:rPr>
          <w:t xml:space="preserve">TBA</w:t>
        </w:r>
      </w:hyperlink>
    </w:p>
    <w:p>
      <w:pPr>
        <w:pStyle w:val="Compact"/>
        <w:numPr>
          <w:numId w:val="1012"/>
          <w:ilvl w:val="0"/>
        </w:numPr>
      </w:pPr>
      <w:hyperlink r:id="rId63">
        <w:r>
          <w:rPr>
            <w:rStyle w:val="Hyperlink"/>
          </w:rPr>
          <w:t xml:space="preserve">TBA</w:t>
        </w:r>
      </w:hyperlink>
    </w:p>
    <w:p>
      <w:pPr>
        <w:pStyle w:val="Compact"/>
        <w:numPr>
          <w:numId w:val="1012"/>
          <w:ilvl w:val="0"/>
        </w:numPr>
      </w:pPr>
      <w:hyperlink r:id="rId63">
        <w:r>
          <w:rPr>
            <w:rStyle w:val="Hyperlink"/>
          </w:rPr>
          <w:t xml:space="preserve">TBA</w:t>
        </w:r>
      </w:hyperlink>
    </w:p>
    <w:p>
      <w:pPr>
        <w:pStyle w:val="Compact"/>
        <w:numPr>
          <w:numId w:val="1012"/>
          <w:ilvl w:val="0"/>
        </w:numPr>
      </w:pPr>
      <w:hyperlink r:id="rId63">
        <w:r>
          <w:rPr>
            <w:rStyle w:val="Hyperlink"/>
          </w:rPr>
          <w:t xml:space="preserve">TBA</w:t>
        </w:r>
      </w:hyperlink>
    </w:p>
    <w:p>
      <w:pPr>
        <w:pStyle w:val="Compact"/>
        <w:numPr>
          <w:numId w:val="1012"/>
          <w:ilvl w:val="0"/>
        </w:numPr>
      </w:pPr>
      <w:hyperlink r:id="rId63">
        <w:r>
          <w:rPr>
            <w:rStyle w:val="Hyperlink"/>
          </w:rPr>
          <w:t xml:space="preserve">TBA</w:t>
        </w:r>
      </w:hyperlink>
    </w:p>
    <w:p>
      <w:pPr>
        <w:pStyle w:val="Compact"/>
        <w:numPr>
          <w:numId w:val="1012"/>
          <w:ilvl w:val="0"/>
        </w:numPr>
      </w:pPr>
      <w:hyperlink r:id="rId63">
        <w:r>
          <w:rPr>
            <w:rStyle w:val="Hyperlink"/>
          </w:rPr>
          <w:t xml:space="preserve">TBA</w:t>
        </w:r>
      </w:hyperlink>
    </w:p>
    <w:p>
      <w:pPr>
        <w:pStyle w:val="Compact"/>
        <w:numPr>
          <w:numId w:val="1012"/>
          <w:ilvl w:val="0"/>
        </w:numPr>
      </w:pPr>
      <w:hyperlink r:id="rId63">
        <w:r>
          <w:rPr>
            <w:rStyle w:val="Hyperlink"/>
          </w:rPr>
          <w:t xml:space="preserve">TBA</w:t>
        </w:r>
      </w:hyperlink>
    </w:p>
    <w:p>
      <w:pPr>
        <w:pStyle w:val="Compact"/>
        <w:numPr>
          <w:numId w:val="1012"/>
          <w:ilvl w:val="0"/>
        </w:numPr>
      </w:pPr>
      <w:hyperlink r:id="rId63">
        <w:r>
          <w:rPr>
            <w:rStyle w:val="Hyperlink"/>
          </w:rPr>
          <w:t xml:space="preserve">TBA</w:t>
        </w:r>
      </w:hyperlink>
    </w:p>
    <w:p>
      <w:pPr>
        <w:pStyle w:val="Heading1"/>
      </w:pPr>
      <w:bookmarkStart w:id="92" w:name="v11-http-security-configuration-verification-requirements"/>
      <w:bookmarkEnd w:id="92"/>
      <w:r>
        <w:t xml:space="preserve">V11: HTTP Security Configuration Verification Requirements</w:t>
      </w:r>
    </w:p>
    <w:p>
      <w:pPr>
        <w:pStyle w:val="Heading2"/>
      </w:pPr>
      <w:bookmarkStart w:id="93" w:name="control-objective-9"/>
      <w:bookmarkEnd w:id="93"/>
      <w:r>
        <w:t xml:space="preserve">Control Objective</w:t>
      </w:r>
    </w:p>
    <w:p>
      <w:pPr>
        <w:pStyle w:val="FirstParagraph"/>
      </w:pPr>
      <w:r>
        <w:t xml:space="preserve">TBA.</w:t>
      </w:r>
    </w:p>
    <w:p>
      <w:pPr>
        <w:pStyle w:val="Heading2"/>
      </w:pPr>
      <w:bookmarkStart w:id="94" w:name="security-verification-requirements-9"/>
      <w:bookmarkEnd w:id="9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95" w:name="references-9"/>
      <w:bookmarkEnd w:id="95"/>
      <w:r>
        <w:t xml:space="preserve">References</w:t>
      </w:r>
    </w:p>
    <w:p>
      <w:pPr>
        <w:pStyle w:val="FirstParagraph"/>
      </w:pPr>
      <w:r>
        <w:t xml:space="preserve">For more information, see also:</w:t>
      </w:r>
    </w:p>
    <w:p>
      <w:pPr>
        <w:pStyle w:val="Compact"/>
        <w:numPr>
          <w:numId w:val="1013"/>
          <w:ilvl w:val="0"/>
        </w:numPr>
      </w:pPr>
      <w:hyperlink r:id="rId63">
        <w:r>
          <w:rPr>
            <w:rStyle w:val="Hyperlink"/>
          </w:rPr>
          <w:t xml:space="preserve">TBA</w:t>
        </w:r>
      </w:hyperlink>
    </w:p>
    <w:p>
      <w:pPr>
        <w:pStyle w:val="Compact"/>
        <w:numPr>
          <w:numId w:val="1013"/>
          <w:ilvl w:val="0"/>
        </w:numPr>
      </w:pPr>
      <w:hyperlink r:id="rId63">
        <w:r>
          <w:rPr>
            <w:rStyle w:val="Hyperlink"/>
          </w:rPr>
          <w:t xml:space="preserve">TBA</w:t>
        </w:r>
      </w:hyperlink>
    </w:p>
    <w:p>
      <w:pPr>
        <w:pStyle w:val="Compact"/>
        <w:numPr>
          <w:numId w:val="1013"/>
          <w:ilvl w:val="0"/>
        </w:numPr>
      </w:pPr>
      <w:hyperlink r:id="rId63">
        <w:r>
          <w:rPr>
            <w:rStyle w:val="Hyperlink"/>
          </w:rPr>
          <w:t xml:space="preserve">TBA</w:t>
        </w:r>
      </w:hyperlink>
    </w:p>
    <w:p>
      <w:pPr>
        <w:pStyle w:val="Compact"/>
        <w:numPr>
          <w:numId w:val="1013"/>
          <w:ilvl w:val="0"/>
        </w:numPr>
      </w:pPr>
      <w:hyperlink r:id="rId63">
        <w:r>
          <w:rPr>
            <w:rStyle w:val="Hyperlink"/>
          </w:rPr>
          <w:t xml:space="preserve">TBA</w:t>
        </w:r>
      </w:hyperlink>
    </w:p>
    <w:p>
      <w:pPr>
        <w:pStyle w:val="Compact"/>
        <w:numPr>
          <w:numId w:val="1013"/>
          <w:ilvl w:val="0"/>
        </w:numPr>
      </w:pPr>
      <w:hyperlink r:id="rId63">
        <w:r>
          <w:rPr>
            <w:rStyle w:val="Hyperlink"/>
          </w:rPr>
          <w:t xml:space="preserve">TBA</w:t>
        </w:r>
      </w:hyperlink>
    </w:p>
    <w:p>
      <w:pPr>
        <w:pStyle w:val="Compact"/>
        <w:numPr>
          <w:numId w:val="1013"/>
          <w:ilvl w:val="0"/>
        </w:numPr>
      </w:pPr>
      <w:hyperlink r:id="rId63">
        <w:r>
          <w:rPr>
            <w:rStyle w:val="Hyperlink"/>
          </w:rPr>
          <w:t xml:space="preserve">TBA</w:t>
        </w:r>
      </w:hyperlink>
    </w:p>
    <w:p>
      <w:pPr>
        <w:pStyle w:val="Compact"/>
        <w:numPr>
          <w:numId w:val="1013"/>
          <w:ilvl w:val="0"/>
        </w:numPr>
      </w:pPr>
      <w:hyperlink r:id="rId63">
        <w:r>
          <w:rPr>
            <w:rStyle w:val="Hyperlink"/>
          </w:rPr>
          <w:t xml:space="preserve">TBA</w:t>
        </w:r>
      </w:hyperlink>
    </w:p>
    <w:p>
      <w:pPr>
        <w:pStyle w:val="Compact"/>
        <w:numPr>
          <w:numId w:val="1013"/>
          <w:ilvl w:val="0"/>
        </w:numPr>
      </w:pPr>
      <w:hyperlink r:id="rId63">
        <w:r>
          <w:rPr>
            <w:rStyle w:val="Hyperlink"/>
          </w:rPr>
          <w:t xml:space="preserve">TBA</w:t>
        </w:r>
      </w:hyperlink>
    </w:p>
    <w:p>
      <w:pPr>
        <w:pStyle w:val="Heading1"/>
      </w:pPr>
      <w:bookmarkStart w:id="96" w:name="v13-malicious-code-verification-requirements"/>
      <w:bookmarkEnd w:id="96"/>
      <w:r>
        <w:t xml:space="preserve">V13: Malicious Code Verification Requirements</w:t>
      </w:r>
    </w:p>
    <w:p>
      <w:pPr>
        <w:pStyle w:val="Heading2"/>
      </w:pPr>
      <w:bookmarkStart w:id="97" w:name="control-objective-10"/>
      <w:bookmarkEnd w:id="97"/>
      <w:r>
        <w:t xml:space="preserve">Control Objective</w:t>
      </w:r>
    </w:p>
    <w:p>
      <w:pPr>
        <w:pStyle w:val="FirstParagraph"/>
      </w:pPr>
      <w:r>
        <w:t xml:space="preserve">TBA.</w:t>
      </w:r>
    </w:p>
    <w:p>
      <w:pPr>
        <w:pStyle w:val="Heading2"/>
      </w:pPr>
      <w:bookmarkStart w:id="98" w:name="security-verification-requirements-10"/>
      <w:bookmarkEnd w:id="98"/>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99" w:name="references-10"/>
      <w:bookmarkEnd w:id="99"/>
      <w:r>
        <w:t xml:space="preserve">References</w:t>
      </w:r>
    </w:p>
    <w:p>
      <w:pPr>
        <w:pStyle w:val="FirstParagraph"/>
      </w:pPr>
      <w:r>
        <w:t xml:space="preserve">For more information, see also:</w:t>
      </w:r>
    </w:p>
    <w:p>
      <w:pPr>
        <w:pStyle w:val="Compact"/>
        <w:numPr>
          <w:numId w:val="1014"/>
          <w:ilvl w:val="0"/>
        </w:numPr>
      </w:pPr>
      <w:hyperlink r:id="rId63">
        <w:r>
          <w:rPr>
            <w:rStyle w:val="Hyperlink"/>
          </w:rPr>
          <w:t xml:space="preserve">TBA</w:t>
        </w:r>
      </w:hyperlink>
    </w:p>
    <w:p>
      <w:pPr>
        <w:pStyle w:val="Compact"/>
        <w:numPr>
          <w:numId w:val="1014"/>
          <w:ilvl w:val="0"/>
        </w:numPr>
      </w:pPr>
      <w:hyperlink r:id="rId63">
        <w:r>
          <w:rPr>
            <w:rStyle w:val="Hyperlink"/>
          </w:rPr>
          <w:t xml:space="preserve">TBA</w:t>
        </w:r>
      </w:hyperlink>
    </w:p>
    <w:p>
      <w:pPr>
        <w:pStyle w:val="Compact"/>
        <w:numPr>
          <w:numId w:val="1014"/>
          <w:ilvl w:val="0"/>
        </w:numPr>
      </w:pPr>
      <w:hyperlink r:id="rId63">
        <w:r>
          <w:rPr>
            <w:rStyle w:val="Hyperlink"/>
          </w:rPr>
          <w:t xml:space="preserve">TBA</w:t>
        </w:r>
      </w:hyperlink>
    </w:p>
    <w:p>
      <w:pPr>
        <w:pStyle w:val="Compact"/>
        <w:numPr>
          <w:numId w:val="1014"/>
          <w:ilvl w:val="0"/>
        </w:numPr>
      </w:pPr>
      <w:hyperlink r:id="rId63">
        <w:r>
          <w:rPr>
            <w:rStyle w:val="Hyperlink"/>
          </w:rPr>
          <w:t xml:space="preserve">TBA</w:t>
        </w:r>
      </w:hyperlink>
    </w:p>
    <w:p>
      <w:pPr>
        <w:pStyle w:val="Compact"/>
        <w:numPr>
          <w:numId w:val="1014"/>
          <w:ilvl w:val="0"/>
        </w:numPr>
      </w:pPr>
      <w:hyperlink r:id="rId63">
        <w:r>
          <w:rPr>
            <w:rStyle w:val="Hyperlink"/>
          </w:rPr>
          <w:t xml:space="preserve">TBA</w:t>
        </w:r>
      </w:hyperlink>
    </w:p>
    <w:p>
      <w:pPr>
        <w:pStyle w:val="Compact"/>
        <w:numPr>
          <w:numId w:val="1014"/>
          <w:ilvl w:val="0"/>
        </w:numPr>
      </w:pPr>
      <w:hyperlink r:id="rId63">
        <w:r>
          <w:rPr>
            <w:rStyle w:val="Hyperlink"/>
          </w:rPr>
          <w:t xml:space="preserve">TBA</w:t>
        </w:r>
      </w:hyperlink>
    </w:p>
    <w:p>
      <w:pPr>
        <w:pStyle w:val="Compact"/>
        <w:numPr>
          <w:numId w:val="1014"/>
          <w:ilvl w:val="0"/>
        </w:numPr>
      </w:pPr>
      <w:hyperlink r:id="rId63">
        <w:r>
          <w:rPr>
            <w:rStyle w:val="Hyperlink"/>
          </w:rPr>
          <w:t xml:space="preserve">TBA</w:t>
        </w:r>
      </w:hyperlink>
    </w:p>
    <w:p>
      <w:pPr>
        <w:pStyle w:val="Compact"/>
        <w:numPr>
          <w:numId w:val="1014"/>
          <w:ilvl w:val="0"/>
        </w:numPr>
      </w:pPr>
      <w:hyperlink r:id="rId63">
        <w:r>
          <w:rPr>
            <w:rStyle w:val="Hyperlink"/>
          </w:rPr>
          <w:t xml:space="preserve">TBA</w:t>
        </w:r>
      </w:hyperlink>
    </w:p>
    <w:p>
      <w:pPr>
        <w:pStyle w:val="Heading1"/>
      </w:pPr>
      <w:bookmarkStart w:id="100" w:name="v15-business-logic-verification-requirements"/>
      <w:bookmarkEnd w:id="100"/>
      <w:r>
        <w:t xml:space="preserve">V15: Business Logic Verification Requirements</w:t>
      </w:r>
    </w:p>
    <w:p>
      <w:pPr>
        <w:pStyle w:val="Heading2"/>
      </w:pPr>
      <w:bookmarkStart w:id="101" w:name="control-objective-11"/>
      <w:bookmarkEnd w:id="101"/>
      <w:r>
        <w:t xml:space="preserve">Control Objective</w:t>
      </w:r>
    </w:p>
    <w:p>
      <w:pPr>
        <w:pStyle w:val="FirstParagraph"/>
      </w:pPr>
      <w:r>
        <w:t xml:space="preserve">TBA.</w:t>
      </w:r>
    </w:p>
    <w:p>
      <w:pPr>
        <w:pStyle w:val="Heading2"/>
      </w:pPr>
      <w:bookmarkStart w:id="102" w:name="security-verification-requirements-11"/>
      <w:bookmarkEnd w:id="10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103" w:name="references-11"/>
      <w:bookmarkEnd w:id="103"/>
      <w:r>
        <w:t xml:space="preserve">References</w:t>
      </w:r>
    </w:p>
    <w:p>
      <w:pPr>
        <w:pStyle w:val="FirstParagraph"/>
      </w:pPr>
      <w:r>
        <w:t xml:space="preserve">For more information, see also:</w:t>
      </w:r>
    </w:p>
    <w:p>
      <w:pPr>
        <w:pStyle w:val="Compact"/>
        <w:numPr>
          <w:numId w:val="1015"/>
          <w:ilvl w:val="0"/>
        </w:numPr>
      </w:pPr>
      <w:hyperlink r:id="rId63">
        <w:r>
          <w:rPr>
            <w:rStyle w:val="Hyperlink"/>
          </w:rPr>
          <w:t xml:space="preserve">TBA</w:t>
        </w:r>
      </w:hyperlink>
    </w:p>
    <w:p>
      <w:pPr>
        <w:pStyle w:val="Compact"/>
        <w:numPr>
          <w:numId w:val="1015"/>
          <w:ilvl w:val="0"/>
        </w:numPr>
      </w:pPr>
      <w:hyperlink r:id="rId63">
        <w:r>
          <w:rPr>
            <w:rStyle w:val="Hyperlink"/>
          </w:rPr>
          <w:t xml:space="preserve">TBA</w:t>
        </w:r>
      </w:hyperlink>
    </w:p>
    <w:p>
      <w:pPr>
        <w:pStyle w:val="Compact"/>
        <w:numPr>
          <w:numId w:val="1015"/>
          <w:ilvl w:val="0"/>
        </w:numPr>
      </w:pPr>
      <w:hyperlink r:id="rId63">
        <w:r>
          <w:rPr>
            <w:rStyle w:val="Hyperlink"/>
          </w:rPr>
          <w:t xml:space="preserve">TBA</w:t>
        </w:r>
      </w:hyperlink>
    </w:p>
    <w:p>
      <w:pPr>
        <w:pStyle w:val="Compact"/>
        <w:numPr>
          <w:numId w:val="1015"/>
          <w:ilvl w:val="0"/>
        </w:numPr>
      </w:pPr>
      <w:hyperlink r:id="rId63">
        <w:r>
          <w:rPr>
            <w:rStyle w:val="Hyperlink"/>
          </w:rPr>
          <w:t xml:space="preserve">TBA</w:t>
        </w:r>
      </w:hyperlink>
    </w:p>
    <w:p>
      <w:pPr>
        <w:pStyle w:val="Compact"/>
        <w:numPr>
          <w:numId w:val="1015"/>
          <w:ilvl w:val="0"/>
        </w:numPr>
      </w:pPr>
      <w:hyperlink r:id="rId63">
        <w:r>
          <w:rPr>
            <w:rStyle w:val="Hyperlink"/>
          </w:rPr>
          <w:t xml:space="preserve">TBA</w:t>
        </w:r>
      </w:hyperlink>
    </w:p>
    <w:p>
      <w:pPr>
        <w:pStyle w:val="Compact"/>
        <w:numPr>
          <w:numId w:val="1015"/>
          <w:ilvl w:val="0"/>
        </w:numPr>
      </w:pPr>
      <w:hyperlink r:id="rId63">
        <w:r>
          <w:rPr>
            <w:rStyle w:val="Hyperlink"/>
          </w:rPr>
          <w:t xml:space="preserve">TBA</w:t>
        </w:r>
      </w:hyperlink>
    </w:p>
    <w:p>
      <w:pPr>
        <w:pStyle w:val="Compact"/>
        <w:numPr>
          <w:numId w:val="1015"/>
          <w:ilvl w:val="0"/>
        </w:numPr>
      </w:pPr>
      <w:hyperlink r:id="rId63">
        <w:r>
          <w:rPr>
            <w:rStyle w:val="Hyperlink"/>
          </w:rPr>
          <w:t xml:space="preserve">TBA</w:t>
        </w:r>
      </w:hyperlink>
    </w:p>
    <w:p>
      <w:pPr>
        <w:pStyle w:val="Compact"/>
        <w:numPr>
          <w:numId w:val="1015"/>
          <w:ilvl w:val="0"/>
        </w:numPr>
      </w:pPr>
      <w:hyperlink r:id="rId63">
        <w:r>
          <w:rPr>
            <w:rStyle w:val="Hyperlink"/>
          </w:rPr>
          <w:t xml:space="preserve">TBA</w:t>
        </w:r>
      </w:hyperlink>
    </w:p>
    <w:p>
      <w:pPr>
        <w:pStyle w:val="Heading1"/>
      </w:pPr>
      <w:bookmarkStart w:id="104" w:name="v16-file-and-resources-verification-requirements"/>
      <w:bookmarkEnd w:id="104"/>
      <w:r>
        <w:t xml:space="preserve">V16: File and Resources Verification Requirements</w:t>
      </w:r>
    </w:p>
    <w:p>
      <w:pPr>
        <w:pStyle w:val="Heading2"/>
      </w:pPr>
      <w:bookmarkStart w:id="105" w:name="control-objective-12"/>
      <w:bookmarkEnd w:id="105"/>
      <w:r>
        <w:t xml:space="preserve">Control Objective</w:t>
      </w:r>
    </w:p>
    <w:p>
      <w:pPr>
        <w:pStyle w:val="FirstParagraph"/>
      </w:pPr>
      <w:r>
        <w:t xml:space="preserve">TBA.</w:t>
      </w:r>
    </w:p>
    <w:p>
      <w:pPr>
        <w:pStyle w:val="Heading2"/>
      </w:pPr>
      <w:bookmarkStart w:id="106" w:name="security-verification-requirements-12"/>
      <w:bookmarkEnd w:id="106"/>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107" w:name="references-12"/>
      <w:bookmarkEnd w:id="107"/>
      <w:r>
        <w:t xml:space="preserve">References</w:t>
      </w:r>
    </w:p>
    <w:p>
      <w:pPr>
        <w:pStyle w:val="FirstParagraph"/>
      </w:pPr>
      <w:r>
        <w:t xml:space="preserve">For more information, see also:</w:t>
      </w:r>
    </w:p>
    <w:p>
      <w:pPr>
        <w:pStyle w:val="Compact"/>
        <w:numPr>
          <w:numId w:val="1016"/>
          <w:ilvl w:val="0"/>
        </w:numPr>
      </w:pPr>
      <w:hyperlink r:id="rId63">
        <w:r>
          <w:rPr>
            <w:rStyle w:val="Hyperlink"/>
          </w:rPr>
          <w:t xml:space="preserve">TBA</w:t>
        </w:r>
      </w:hyperlink>
    </w:p>
    <w:p>
      <w:pPr>
        <w:pStyle w:val="Compact"/>
        <w:numPr>
          <w:numId w:val="1016"/>
          <w:ilvl w:val="0"/>
        </w:numPr>
      </w:pPr>
      <w:hyperlink r:id="rId63">
        <w:r>
          <w:rPr>
            <w:rStyle w:val="Hyperlink"/>
          </w:rPr>
          <w:t xml:space="preserve">TBA</w:t>
        </w:r>
      </w:hyperlink>
    </w:p>
    <w:p>
      <w:pPr>
        <w:pStyle w:val="Compact"/>
        <w:numPr>
          <w:numId w:val="1016"/>
          <w:ilvl w:val="0"/>
        </w:numPr>
      </w:pPr>
      <w:hyperlink r:id="rId63">
        <w:r>
          <w:rPr>
            <w:rStyle w:val="Hyperlink"/>
          </w:rPr>
          <w:t xml:space="preserve">TBA</w:t>
        </w:r>
      </w:hyperlink>
    </w:p>
    <w:p>
      <w:pPr>
        <w:pStyle w:val="Compact"/>
        <w:numPr>
          <w:numId w:val="1016"/>
          <w:ilvl w:val="0"/>
        </w:numPr>
      </w:pPr>
      <w:hyperlink r:id="rId63">
        <w:r>
          <w:rPr>
            <w:rStyle w:val="Hyperlink"/>
          </w:rPr>
          <w:t xml:space="preserve">TBA</w:t>
        </w:r>
      </w:hyperlink>
    </w:p>
    <w:p>
      <w:pPr>
        <w:pStyle w:val="Compact"/>
        <w:numPr>
          <w:numId w:val="1016"/>
          <w:ilvl w:val="0"/>
        </w:numPr>
      </w:pPr>
      <w:hyperlink r:id="rId63">
        <w:r>
          <w:rPr>
            <w:rStyle w:val="Hyperlink"/>
          </w:rPr>
          <w:t xml:space="preserve">TBA</w:t>
        </w:r>
      </w:hyperlink>
    </w:p>
    <w:p>
      <w:pPr>
        <w:pStyle w:val="Compact"/>
        <w:numPr>
          <w:numId w:val="1016"/>
          <w:ilvl w:val="0"/>
        </w:numPr>
      </w:pPr>
      <w:hyperlink r:id="rId63">
        <w:r>
          <w:rPr>
            <w:rStyle w:val="Hyperlink"/>
          </w:rPr>
          <w:t xml:space="preserve">TBA</w:t>
        </w:r>
      </w:hyperlink>
    </w:p>
    <w:p>
      <w:pPr>
        <w:pStyle w:val="Compact"/>
        <w:numPr>
          <w:numId w:val="1016"/>
          <w:ilvl w:val="0"/>
        </w:numPr>
      </w:pPr>
      <w:hyperlink r:id="rId63">
        <w:r>
          <w:rPr>
            <w:rStyle w:val="Hyperlink"/>
          </w:rPr>
          <w:t xml:space="preserve">TBA</w:t>
        </w:r>
      </w:hyperlink>
    </w:p>
    <w:p>
      <w:pPr>
        <w:pStyle w:val="Compact"/>
        <w:numPr>
          <w:numId w:val="1016"/>
          <w:ilvl w:val="0"/>
        </w:numPr>
      </w:pPr>
      <w:hyperlink r:id="rId63">
        <w:r>
          <w:rPr>
            <w:rStyle w:val="Hyperlink"/>
          </w:rPr>
          <w:t xml:space="preserve">TBA</w:t>
        </w:r>
      </w:hyperlink>
    </w:p>
    <w:p>
      <w:pPr>
        <w:pStyle w:val="Heading1"/>
      </w:pPr>
      <w:bookmarkStart w:id="108" w:name="v17-mobile-verification-requirements"/>
      <w:bookmarkEnd w:id="108"/>
      <w:r>
        <w:t xml:space="preserve">V17: Mobile Verification Requirements</w:t>
      </w:r>
    </w:p>
    <w:p>
      <w:pPr>
        <w:pStyle w:val="Heading2"/>
      </w:pPr>
      <w:bookmarkStart w:id="109" w:name="control-objective-13"/>
      <w:bookmarkEnd w:id="109"/>
      <w:r>
        <w:t xml:space="preserve">Control Objective</w:t>
      </w:r>
    </w:p>
    <w:p>
      <w:pPr>
        <w:pStyle w:val="FirstParagraph"/>
      </w:pPr>
      <w:r>
        <w:t xml:space="preserve">TBA.</w:t>
      </w:r>
    </w:p>
    <w:p>
      <w:pPr>
        <w:pStyle w:val="Heading2"/>
      </w:pPr>
      <w:bookmarkStart w:id="110" w:name="security-verification-requirements-13"/>
      <w:bookmarkEnd w:id="110"/>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111" w:name="references-13"/>
      <w:bookmarkEnd w:id="111"/>
      <w:r>
        <w:t xml:space="preserve">References</w:t>
      </w:r>
    </w:p>
    <w:p>
      <w:pPr>
        <w:pStyle w:val="FirstParagraph"/>
      </w:pPr>
      <w:r>
        <w:t xml:space="preserve">For more information, see also:</w:t>
      </w:r>
    </w:p>
    <w:p>
      <w:pPr>
        <w:pStyle w:val="Compact"/>
        <w:numPr>
          <w:numId w:val="1017"/>
          <w:ilvl w:val="0"/>
        </w:numPr>
      </w:pPr>
      <w:hyperlink r:id="rId63">
        <w:r>
          <w:rPr>
            <w:rStyle w:val="Hyperlink"/>
          </w:rPr>
          <w:t xml:space="preserve">TBA</w:t>
        </w:r>
      </w:hyperlink>
    </w:p>
    <w:p>
      <w:pPr>
        <w:pStyle w:val="Compact"/>
        <w:numPr>
          <w:numId w:val="1017"/>
          <w:ilvl w:val="0"/>
        </w:numPr>
      </w:pPr>
      <w:hyperlink r:id="rId63">
        <w:r>
          <w:rPr>
            <w:rStyle w:val="Hyperlink"/>
          </w:rPr>
          <w:t xml:space="preserve">TBA</w:t>
        </w:r>
      </w:hyperlink>
    </w:p>
    <w:p>
      <w:pPr>
        <w:pStyle w:val="Compact"/>
        <w:numPr>
          <w:numId w:val="1017"/>
          <w:ilvl w:val="0"/>
        </w:numPr>
      </w:pPr>
      <w:hyperlink r:id="rId63">
        <w:r>
          <w:rPr>
            <w:rStyle w:val="Hyperlink"/>
          </w:rPr>
          <w:t xml:space="preserve">TBA</w:t>
        </w:r>
      </w:hyperlink>
    </w:p>
    <w:p>
      <w:pPr>
        <w:pStyle w:val="Compact"/>
        <w:numPr>
          <w:numId w:val="1017"/>
          <w:ilvl w:val="0"/>
        </w:numPr>
      </w:pPr>
      <w:hyperlink r:id="rId63">
        <w:r>
          <w:rPr>
            <w:rStyle w:val="Hyperlink"/>
          </w:rPr>
          <w:t xml:space="preserve">TBA</w:t>
        </w:r>
      </w:hyperlink>
    </w:p>
    <w:p>
      <w:pPr>
        <w:pStyle w:val="Compact"/>
        <w:numPr>
          <w:numId w:val="1017"/>
          <w:ilvl w:val="0"/>
        </w:numPr>
      </w:pPr>
      <w:hyperlink r:id="rId63">
        <w:r>
          <w:rPr>
            <w:rStyle w:val="Hyperlink"/>
          </w:rPr>
          <w:t xml:space="preserve">TBA</w:t>
        </w:r>
      </w:hyperlink>
    </w:p>
    <w:p>
      <w:pPr>
        <w:pStyle w:val="Compact"/>
        <w:numPr>
          <w:numId w:val="1017"/>
          <w:ilvl w:val="0"/>
        </w:numPr>
      </w:pPr>
      <w:hyperlink r:id="rId63">
        <w:r>
          <w:rPr>
            <w:rStyle w:val="Hyperlink"/>
          </w:rPr>
          <w:t xml:space="preserve">TBA</w:t>
        </w:r>
      </w:hyperlink>
    </w:p>
    <w:p>
      <w:pPr>
        <w:pStyle w:val="Compact"/>
        <w:numPr>
          <w:numId w:val="1017"/>
          <w:ilvl w:val="0"/>
        </w:numPr>
      </w:pPr>
      <w:hyperlink r:id="rId63">
        <w:r>
          <w:rPr>
            <w:rStyle w:val="Hyperlink"/>
          </w:rPr>
          <w:t xml:space="preserve">TBA</w:t>
        </w:r>
      </w:hyperlink>
    </w:p>
    <w:p>
      <w:pPr>
        <w:pStyle w:val="Compact"/>
        <w:numPr>
          <w:numId w:val="1017"/>
          <w:ilvl w:val="0"/>
        </w:numPr>
      </w:pPr>
      <w:hyperlink r:id="rId63">
        <w:r>
          <w:rPr>
            <w:rStyle w:val="Hyperlink"/>
          </w:rPr>
          <w:t xml:space="preserve">TBA</w:t>
        </w:r>
      </w:hyperlink>
    </w:p>
    <w:p>
      <w:pPr>
        <w:pStyle w:val="Heading1"/>
      </w:pPr>
      <w:bookmarkStart w:id="112" w:name="v18-api-and-web-service-verification-requirements"/>
      <w:bookmarkEnd w:id="112"/>
      <w:r>
        <w:t xml:space="preserve">V18: API and Web Service Verification Requirements</w:t>
      </w:r>
    </w:p>
    <w:p>
      <w:pPr>
        <w:pStyle w:val="Heading2"/>
      </w:pPr>
      <w:bookmarkStart w:id="113" w:name="control-objective-14"/>
      <w:bookmarkEnd w:id="113"/>
      <w:r>
        <w:t xml:space="preserve">Control Objective</w:t>
      </w:r>
    </w:p>
    <w:p>
      <w:pPr>
        <w:pStyle w:val="FirstParagraph"/>
      </w:pPr>
      <w:r>
        <w:t xml:space="preserve">TBA.</w:t>
      </w:r>
    </w:p>
    <w:p>
      <w:pPr>
        <w:pStyle w:val="Heading2"/>
      </w:pPr>
      <w:bookmarkStart w:id="114" w:name="security-verification-requirements-14"/>
      <w:bookmarkEnd w:id="11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115" w:name="references-14"/>
      <w:bookmarkEnd w:id="115"/>
      <w:r>
        <w:t xml:space="preserve">References</w:t>
      </w:r>
    </w:p>
    <w:p>
      <w:pPr>
        <w:pStyle w:val="FirstParagraph"/>
      </w:pPr>
      <w:r>
        <w:t xml:space="preserve">For more information, see also:</w:t>
      </w:r>
    </w:p>
    <w:p>
      <w:pPr>
        <w:pStyle w:val="Compact"/>
        <w:numPr>
          <w:numId w:val="1018"/>
          <w:ilvl w:val="0"/>
        </w:numPr>
      </w:pPr>
      <w:hyperlink r:id="rId63">
        <w:r>
          <w:rPr>
            <w:rStyle w:val="Hyperlink"/>
          </w:rPr>
          <w:t xml:space="preserve">TBA</w:t>
        </w:r>
      </w:hyperlink>
    </w:p>
    <w:p>
      <w:pPr>
        <w:pStyle w:val="Compact"/>
        <w:numPr>
          <w:numId w:val="1018"/>
          <w:ilvl w:val="0"/>
        </w:numPr>
      </w:pPr>
      <w:hyperlink r:id="rId63">
        <w:r>
          <w:rPr>
            <w:rStyle w:val="Hyperlink"/>
          </w:rPr>
          <w:t xml:space="preserve">TBA</w:t>
        </w:r>
      </w:hyperlink>
    </w:p>
    <w:p>
      <w:pPr>
        <w:pStyle w:val="Compact"/>
        <w:numPr>
          <w:numId w:val="1018"/>
          <w:ilvl w:val="0"/>
        </w:numPr>
      </w:pPr>
      <w:hyperlink r:id="rId63">
        <w:r>
          <w:rPr>
            <w:rStyle w:val="Hyperlink"/>
          </w:rPr>
          <w:t xml:space="preserve">TBA</w:t>
        </w:r>
      </w:hyperlink>
    </w:p>
    <w:p>
      <w:pPr>
        <w:pStyle w:val="Compact"/>
        <w:numPr>
          <w:numId w:val="1018"/>
          <w:ilvl w:val="0"/>
        </w:numPr>
      </w:pPr>
      <w:hyperlink r:id="rId63">
        <w:r>
          <w:rPr>
            <w:rStyle w:val="Hyperlink"/>
          </w:rPr>
          <w:t xml:space="preserve">TBA</w:t>
        </w:r>
      </w:hyperlink>
    </w:p>
    <w:p>
      <w:pPr>
        <w:pStyle w:val="Compact"/>
        <w:numPr>
          <w:numId w:val="1018"/>
          <w:ilvl w:val="0"/>
        </w:numPr>
      </w:pPr>
      <w:hyperlink r:id="rId63">
        <w:r>
          <w:rPr>
            <w:rStyle w:val="Hyperlink"/>
          </w:rPr>
          <w:t xml:space="preserve">TBA</w:t>
        </w:r>
      </w:hyperlink>
    </w:p>
    <w:p>
      <w:pPr>
        <w:pStyle w:val="Compact"/>
        <w:numPr>
          <w:numId w:val="1018"/>
          <w:ilvl w:val="0"/>
        </w:numPr>
      </w:pPr>
      <w:hyperlink r:id="rId63">
        <w:r>
          <w:rPr>
            <w:rStyle w:val="Hyperlink"/>
          </w:rPr>
          <w:t xml:space="preserve">TBA</w:t>
        </w:r>
      </w:hyperlink>
    </w:p>
    <w:p>
      <w:pPr>
        <w:pStyle w:val="Compact"/>
        <w:numPr>
          <w:numId w:val="1018"/>
          <w:ilvl w:val="0"/>
        </w:numPr>
      </w:pPr>
      <w:hyperlink r:id="rId63">
        <w:r>
          <w:rPr>
            <w:rStyle w:val="Hyperlink"/>
          </w:rPr>
          <w:t xml:space="preserve">TBA</w:t>
        </w:r>
      </w:hyperlink>
    </w:p>
    <w:p>
      <w:pPr>
        <w:pStyle w:val="Compact"/>
        <w:numPr>
          <w:numId w:val="1018"/>
          <w:ilvl w:val="0"/>
        </w:numPr>
      </w:pPr>
      <w:hyperlink r:id="rId63">
        <w:r>
          <w:rPr>
            <w:rStyle w:val="Hyperlink"/>
          </w:rPr>
          <w:t xml:space="preserve">TBA</w:t>
        </w:r>
      </w:hyperlink>
    </w:p>
    <w:p>
      <w:pPr>
        <w:pStyle w:val="Heading1"/>
      </w:pPr>
      <w:bookmarkStart w:id="116" w:name="v19-configuration-verification-requirements"/>
      <w:bookmarkEnd w:id="116"/>
      <w:r>
        <w:t xml:space="preserve">V19: Configuration Verification Requirements</w:t>
      </w:r>
    </w:p>
    <w:p>
      <w:pPr>
        <w:pStyle w:val="Heading2"/>
      </w:pPr>
      <w:bookmarkStart w:id="117" w:name="control-objective-15"/>
      <w:bookmarkEnd w:id="117"/>
      <w:r>
        <w:t xml:space="preserve">Control Objective</w:t>
      </w:r>
    </w:p>
    <w:p>
      <w:pPr>
        <w:pStyle w:val="FirstParagraph"/>
      </w:pPr>
      <w:r>
        <w:t xml:space="preserve">TBA.</w:t>
      </w:r>
    </w:p>
    <w:p>
      <w:pPr>
        <w:pStyle w:val="Heading2"/>
      </w:pPr>
      <w:bookmarkStart w:id="118" w:name="security-verification-requirements-15"/>
      <w:bookmarkEnd w:id="118"/>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119" w:name="references-15"/>
      <w:bookmarkEnd w:id="119"/>
      <w:r>
        <w:t xml:space="preserve">References</w:t>
      </w:r>
    </w:p>
    <w:p>
      <w:pPr>
        <w:pStyle w:val="FirstParagraph"/>
      </w:pPr>
      <w:r>
        <w:t xml:space="preserve">For more information, see also:</w:t>
      </w:r>
    </w:p>
    <w:p>
      <w:pPr>
        <w:pStyle w:val="Compact"/>
        <w:numPr>
          <w:numId w:val="1019"/>
          <w:ilvl w:val="0"/>
        </w:numPr>
      </w:pPr>
      <w:hyperlink r:id="rId63">
        <w:r>
          <w:rPr>
            <w:rStyle w:val="Hyperlink"/>
          </w:rPr>
          <w:t xml:space="preserve">TBA</w:t>
        </w:r>
      </w:hyperlink>
    </w:p>
    <w:p>
      <w:pPr>
        <w:pStyle w:val="Compact"/>
        <w:numPr>
          <w:numId w:val="1019"/>
          <w:ilvl w:val="0"/>
        </w:numPr>
      </w:pPr>
      <w:hyperlink r:id="rId63">
        <w:r>
          <w:rPr>
            <w:rStyle w:val="Hyperlink"/>
          </w:rPr>
          <w:t xml:space="preserve">TBA</w:t>
        </w:r>
      </w:hyperlink>
    </w:p>
    <w:p>
      <w:pPr>
        <w:pStyle w:val="Compact"/>
        <w:numPr>
          <w:numId w:val="1019"/>
          <w:ilvl w:val="0"/>
        </w:numPr>
      </w:pPr>
      <w:hyperlink r:id="rId63">
        <w:r>
          <w:rPr>
            <w:rStyle w:val="Hyperlink"/>
          </w:rPr>
          <w:t xml:space="preserve">TBA</w:t>
        </w:r>
      </w:hyperlink>
    </w:p>
    <w:p>
      <w:pPr>
        <w:pStyle w:val="Compact"/>
        <w:numPr>
          <w:numId w:val="1019"/>
          <w:ilvl w:val="0"/>
        </w:numPr>
      </w:pPr>
      <w:hyperlink r:id="rId63">
        <w:r>
          <w:rPr>
            <w:rStyle w:val="Hyperlink"/>
          </w:rPr>
          <w:t xml:space="preserve">TBA</w:t>
        </w:r>
      </w:hyperlink>
    </w:p>
    <w:p>
      <w:pPr>
        <w:pStyle w:val="Compact"/>
        <w:numPr>
          <w:numId w:val="1019"/>
          <w:ilvl w:val="0"/>
        </w:numPr>
      </w:pPr>
      <w:hyperlink r:id="rId63">
        <w:r>
          <w:rPr>
            <w:rStyle w:val="Hyperlink"/>
          </w:rPr>
          <w:t xml:space="preserve">TBA</w:t>
        </w:r>
      </w:hyperlink>
    </w:p>
    <w:p>
      <w:pPr>
        <w:pStyle w:val="Compact"/>
        <w:numPr>
          <w:numId w:val="1019"/>
          <w:ilvl w:val="0"/>
        </w:numPr>
      </w:pPr>
      <w:hyperlink r:id="rId63">
        <w:r>
          <w:rPr>
            <w:rStyle w:val="Hyperlink"/>
          </w:rPr>
          <w:t xml:space="preserve">TBA</w:t>
        </w:r>
      </w:hyperlink>
    </w:p>
    <w:p>
      <w:pPr>
        <w:pStyle w:val="Compact"/>
        <w:numPr>
          <w:numId w:val="1019"/>
          <w:ilvl w:val="0"/>
        </w:numPr>
      </w:pPr>
      <w:hyperlink r:id="rId63">
        <w:r>
          <w:rPr>
            <w:rStyle w:val="Hyperlink"/>
          </w:rPr>
          <w:t xml:space="preserve">TBA</w:t>
        </w:r>
      </w:hyperlink>
    </w:p>
    <w:p>
      <w:pPr>
        <w:pStyle w:val="Compact"/>
        <w:numPr>
          <w:numId w:val="1019"/>
          <w:ilvl w:val="0"/>
        </w:numPr>
      </w:pPr>
      <w:hyperlink r:id="rId63">
        <w:r>
          <w:rPr>
            <w:rStyle w:val="Hyperlink"/>
          </w:rPr>
          <w:t xml:space="preserve">TBA</w:t>
        </w:r>
      </w:hyperlink>
    </w:p>
    <w:p>
      <w:pPr>
        <w:pStyle w:val="Heading1"/>
      </w:pPr>
      <w:bookmarkStart w:id="120" w:name="v20-internet-of-things-verification-requirements"/>
      <w:bookmarkEnd w:id="120"/>
      <w:r>
        <w:t xml:space="preserve">V20: Internet of Things Verification Requirements</w:t>
      </w:r>
    </w:p>
    <w:p>
      <w:pPr>
        <w:pStyle w:val="Heading2"/>
      </w:pPr>
      <w:bookmarkStart w:id="121" w:name="control-objective-16"/>
      <w:bookmarkEnd w:id="121"/>
      <w:r>
        <w:t xml:space="preserve">Control Objective</w:t>
      </w:r>
    </w:p>
    <w:p>
      <w:pPr>
        <w:pStyle w:val="FirstParagraph"/>
      </w:pPr>
      <w:r>
        <w:t xml:space="preserve">TBA.</w:t>
      </w:r>
    </w:p>
    <w:p>
      <w:pPr>
        <w:pStyle w:val="Heading2"/>
      </w:pPr>
      <w:bookmarkStart w:id="122" w:name="security-verification-requirements-16"/>
      <w:bookmarkEnd w:id="12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bl>
    <w:p>
      <w:pPr>
        <w:pStyle w:val="Heading2"/>
      </w:pPr>
      <w:bookmarkStart w:id="123" w:name="references-16"/>
      <w:bookmarkEnd w:id="123"/>
      <w:r>
        <w:t xml:space="preserve">References</w:t>
      </w:r>
    </w:p>
    <w:p>
      <w:pPr>
        <w:pStyle w:val="FirstParagraph"/>
      </w:pPr>
      <w:r>
        <w:t xml:space="preserve">For more information, see also:</w:t>
      </w:r>
    </w:p>
    <w:p>
      <w:pPr>
        <w:pStyle w:val="Compact"/>
        <w:numPr>
          <w:numId w:val="1020"/>
          <w:ilvl w:val="0"/>
        </w:numPr>
      </w:pPr>
      <w:hyperlink r:id="rId63">
        <w:r>
          <w:rPr>
            <w:rStyle w:val="Hyperlink"/>
          </w:rPr>
          <w:t xml:space="preserve">TBA</w:t>
        </w:r>
      </w:hyperlink>
    </w:p>
    <w:p>
      <w:pPr>
        <w:pStyle w:val="Compact"/>
        <w:numPr>
          <w:numId w:val="1020"/>
          <w:ilvl w:val="0"/>
        </w:numPr>
      </w:pPr>
      <w:hyperlink r:id="rId63">
        <w:r>
          <w:rPr>
            <w:rStyle w:val="Hyperlink"/>
          </w:rPr>
          <w:t xml:space="preserve">TBA</w:t>
        </w:r>
      </w:hyperlink>
    </w:p>
    <w:p>
      <w:pPr>
        <w:pStyle w:val="Compact"/>
        <w:numPr>
          <w:numId w:val="1020"/>
          <w:ilvl w:val="0"/>
        </w:numPr>
      </w:pPr>
      <w:hyperlink r:id="rId63">
        <w:r>
          <w:rPr>
            <w:rStyle w:val="Hyperlink"/>
          </w:rPr>
          <w:t xml:space="preserve">TBA</w:t>
        </w:r>
      </w:hyperlink>
    </w:p>
    <w:p>
      <w:pPr>
        <w:pStyle w:val="Compact"/>
        <w:numPr>
          <w:numId w:val="1020"/>
          <w:ilvl w:val="0"/>
        </w:numPr>
      </w:pPr>
      <w:hyperlink r:id="rId63">
        <w:r>
          <w:rPr>
            <w:rStyle w:val="Hyperlink"/>
          </w:rPr>
          <w:t xml:space="preserve">TBA</w:t>
        </w:r>
      </w:hyperlink>
    </w:p>
    <w:p>
      <w:pPr>
        <w:pStyle w:val="Compact"/>
        <w:numPr>
          <w:numId w:val="1020"/>
          <w:ilvl w:val="0"/>
        </w:numPr>
      </w:pPr>
      <w:hyperlink r:id="rId63">
        <w:r>
          <w:rPr>
            <w:rStyle w:val="Hyperlink"/>
          </w:rPr>
          <w:t xml:space="preserve">TBA</w:t>
        </w:r>
      </w:hyperlink>
    </w:p>
    <w:p>
      <w:pPr>
        <w:pStyle w:val="Compact"/>
        <w:numPr>
          <w:numId w:val="1020"/>
          <w:ilvl w:val="0"/>
        </w:numPr>
      </w:pPr>
      <w:hyperlink r:id="rId63">
        <w:r>
          <w:rPr>
            <w:rStyle w:val="Hyperlink"/>
          </w:rPr>
          <w:t xml:space="preserve">TBA</w:t>
        </w:r>
      </w:hyperlink>
    </w:p>
    <w:p>
      <w:pPr>
        <w:pStyle w:val="Compact"/>
        <w:numPr>
          <w:numId w:val="1020"/>
          <w:ilvl w:val="0"/>
        </w:numPr>
      </w:pPr>
      <w:hyperlink r:id="rId63">
        <w:r>
          <w:rPr>
            <w:rStyle w:val="Hyperlink"/>
          </w:rPr>
          <w:t xml:space="preserve">TBA</w:t>
        </w:r>
      </w:hyperlink>
    </w:p>
    <w:p>
      <w:pPr>
        <w:pStyle w:val="Compact"/>
        <w:numPr>
          <w:numId w:val="1020"/>
          <w:ilvl w:val="0"/>
        </w:numPr>
      </w:pPr>
      <w:hyperlink r:id="rId63">
        <w:r>
          <w:rPr>
            <w:rStyle w:val="Hyperlink"/>
          </w:rPr>
          <w:t xml:space="preserve">TBA</w:t>
        </w:r>
      </w:hyperlink>
    </w:p>
    <w:p>
      <w:pPr>
        <w:pStyle w:val="Heading1"/>
      </w:pPr>
      <w:bookmarkStart w:id="124" w:name="appendix-a-glossary"/>
      <w:bookmarkEnd w:id="124"/>
      <w:r>
        <w:t xml:space="preserve">Appendix A: Glossary</w:t>
      </w:r>
    </w:p>
    <w:p>
      <w:pPr>
        <w:pStyle w:val="Compact"/>
        <w:numPr>
          <w:numId w:val="1021"/>
          <w:ilvl w:val="0"/>
        </w:numPr>
      </w:pPr>
      <w:r>
        <w:rPr>
          <w:b/>
        </w:rPr>
        <w:t xml:space="preserve">2FA</w:t>
      </w:r>
      <w:r>
        <w:t xml:space="preserve"> </w:t>
      </w:r>
      <w:r>
        <w:t xml:space="preserve">– Two-factor authentication(2FA) adds a second level of authentication to an account log-in.</w:t>
      </w:r>
    </w:p>
    <w:p>
      <w:pPr>
        <w:pStyle w:val="Compact"/>
        <w:numPr>
          <w:numId w:val="1021"/>
          <w:ilvl w:val="0"/>
        </w:numPr>
      </w:pPr>
      <w:r>
        <w:rPr>
          <w:b/>
        </w:rPr>
        <w:t xml:space="preserve">Address Space Layout Randomization (ASLR)</w:t>
      </w:r>
      <w:r>
        <w:t xml:space="preserve"> </w:t>
      </w:r>
      <w:r>
        <w:t xml:space="preserve">– A technique to make exploiting memory corruption bugs more difficult.</w:t>
      </w:r>
    </w:p>
    <w:p>
      <w:pPr>
        <w:pStyle w:val="Compact"/>
        <w:numPr>
          <w:numId w:val="1021"/>
          <w:ilvl w:val="0"/>
        </w:numPr>
      </w:pPr>
      <w:r>
        <w:rPr>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pStyle w:val="Compact"/>
        <w:numPr>
          <w:numId w:val="1021"/>
          <w:ilvl w:val="0"/>
        </w:numPr>
      </w:pPr>
      <w:r>
        <w:rPr>
          <w:b/>
        </w:rPr>
        <w:t xml:space="preserve">Application Security Verification</w:t>
      </w:r>
      <w:r>
        <w:t xml:space="preserve"> </w:t>
      </w:r>
      <w:r>
        <w:t xml:space="preserve">– The technical assessment of an application against the OWASP MASVS.</w:t>
      </w:r>
    </w:p>
    <w:p>
      <w:pPr>
        <w:pStyle w:val="Compact"/>
        <w:numPr>
          <w:numId w:val="1021"/>
          <w:ilvl w:val="0"/>
        </w:numPr>
      </w:pPr>
      <w:r>
        <w:rPr>
          <w:b/>
        </w:rPr>
        <w:t xml:space="preserve">Application Security Verification Report</w:t>
      </w:r>
      <w:r>
        <w:t xml:space="preserve"> </w:t>
      </w:r>
      <w:r>
        <w:t xml:space="preserve">– A report that documents the overall results and supporting analysis produced by the verifier for a particular application.</w:t>
      </w:r>
    </w:p>
    <w:p>
      <w:pPr>
        <w:pStyle w:val="Compact"/>
        <w:numPr>
          <w:numId w:val="1021"/>
          <w:ilvl w:val="0"/>
        </w:numPr>
      </w:pPr>
      <w:r>
        <w:rPr>
          <w:b/>
        </w:rPr>
        <w:t xml:space="preserve">Authentication</w:t>
      </w:r>
      <w:r>
        <w:t xml:space="preserve"> </w:t>
      </w:r>
      <w:r>
        <w:t xml:space="preserve">– The verification of the claimed identity of an application user.</w:t>
      </w:r>
    </w:p>
    <w:p>
      <w:pPr>
        <w:pStyle w:val="Compact"/>
        <w:numPr>
          <w:numId w:val="1021"/>
          <w:ilvl w:val="0"/>
        </w:numPr>
      </w:pPr>
      <w:r>
        <w:rPr>
          <w:b/>
        </w:rPr>
        <w:t xml:space="preserve">Automated Verification</w:t>
      </w:r>
      <w:r>
        <w:t xml:space="preserve"> </w:t>
      </w:r>
      <w:r>
        <w:t xml:space="preserve">– The use of automated tools (either dynamic analysis tools, static analysis tools, or both) that use vulnerability signatures to find problems.</w:t>
      </w:r>
    </w:p>
    <w:p>
      <w:pPr>
        <w:pStyle w:val="Compact"/>
        <w:numPr>
          <w:numId w:val="1021"/>
          <w:ilvl w:val="0"/>
        </w:numPr>
      </w:pPr>
      <w:r>
        <w:rPr>
          <w:b/>
        </w:rPr>
        <w:t xml:space="preserve">Black box testing</w:t>
      </w:r>
      <w:r>
        <w:t xml:space="preserve"> </w:t>
      </w:r>
      <w:r>
        <w:t xml:space="preserve">– It is a method of software testing that examines the functionality of an application without peering into its internal structures or workings.</w:t>
      </w:r>
    </w:p>
    <w:p>
      <w:pPr>
        <w:pStyle w:val="Compact"/>
        <w:numPr>
          <w:numId w:val="1021"/>
          <w:ilvl w:val="0"/>
        </w:numPr>
      </w:pPr>
      <w:r>
        <w:rPr>
          <w:b/>
        </w:rPr>
        <w:t xml:space="preserve">Component</w:t>
      </w:r>
      <w:r>
        <w:t xml:space="preserve"> </w:t>
      </w:r>
      <w:r>
        <w:t xml:space="preserve">– a self-contained unit of code, with associated disk and network interfaces that communicates with other components.</w:t>
      </w:r>
    </w:p>
    <w:p>
      <w:pPr>
        <w:pStyle w:val="Compact"/>
        <w:numPr>
          <w:numId w:val="1021"/>
          <w:ilvl w:val="0"/>
        </w:numPr>
      </w:pPr>
      <w:r>
        <w:rPr>
          <w:b/>
        </w:rPr>
        <w:t xml:space="preserve">Cross-Site Scripting</w:t>
      </w:r>
      <w:r>
        <w:t xml:space="preserve"> </w:t>
      </w:r>
      <w:r>
        <w:t xml:space="preserve">(XSS) – A security vulnerability typically found in web applications allowing the injection of client-side scripts into content.</w:t>
      </w:r>
    </w:p>
    <w:p>
      <w:pPr>
        <w:pStyle w:val="Compact"/>
        <w:numPr>
          <w:numId w:val="1021"/>
          <w:ilvl w:val="0"/>
        </w:numPr>
      </w:pPr>
      <w:r>
        <w:rPr>
          <w:b/>
        </w:rPr>
        <w:t xml:space="preserve">Cryptographic module</w:t>
      </w:r>
      <w:r>
        <w:t xml:space="preserve"> </w:t>
      </w:r>
      <w:r>
        <w:t xml:space="preserve">– Hardware, software, and/or firmware that implements cryptographic algorithms and/or generates cryptographic keys.</w:t>
      </w:r>
    </w:p>
    <w:p>
      <w:pPr>
        <w:pStyle w:val="Compact"/>
        <w:numPr>
          <w:numId w:val="1021"/>
          <w:ilvl w:val="0"/>
        </w:numPr>
      </w:pPr>
      <w:r>
        <w:rPr>
          <w:b/>
        </w:rPr>
        <w:t xml:space="preserve">CWE</w:t>
      </w:r>
      <w:r>
        <w:t xml:space="preserve"> </w:t>
      </w:r>
      <w:r>
        <w:t xml:space="preserve">- CWE is a community-developed list of common software security weaknesses. It serves as a common language, a measuring stick for software security tools, and as a baseline for weakness identification, mitigation, and prevention efforts.</w:t>
      </w:r>
    </w:p>
    <w:p>
      <w:pPr>
        <w:pStyle w:val="Compact"/>
        <w:numPr>
          <w:numId w:val="1021"/>
          <w:ilvl w:val="0"/>
        </w:numPr>
      </w:pPr>
      <w:r>
        <w:rPr>
          <w:b/>
        </w:rPr>
        <w:t xml:space="preserve">DAST</w:t>
      </w:r>
      <w:r>
        <w:t xml:space="preserve"> </w:t>
      </w:r>
      <w:r>
        <w:t xml:space="preserve">–Dynamic application security testing (DAST) technologies are designed to detect conditions indicative of a security vulnerability in an application in its running state.</w:t>
      </w:r>
    </w:p>
    <w:p>
      <w:pPr>
        <w:pStyle w:val="Compact"/>
        <w:numPr>
          <w:numId w:val="1021"/>
          <w:ilvl w:val="0"/>
        </w:numPr>
      </w:pPr>
      <w:r>
        <w:rPr>
          <w:b/>
        </w:rPr>
        <w:t xml:space="preserve">Design Verification</w:t>
      </w:r>
      <w:r>
        <w:t xml:space="preserve"> </w:t>
      </w:r>
      <w:r>
        <w:t xml:space="preserve">– The technical assessment of the security architecture of an application.</w:t>
      </w:r>
    </w:p>
    <w:p>
      <w:pPr>
        <w:pStyle w:val="Compact"/>
        <w:numPr>
          <w:numId w:val="1021"/>
          <w:ilvl w:val="0"/>
        </w:numPr>
      </w:pPr>
      <w:r>
        <w:rPr>
          <w:b/>
        </w:rPr>
        <w:t xml:space="preserve">Dynamic Verification</w:t>
      </w:r>
      <w:r>
        <w:t xml:space="preserve"> </w:t>
      </w:r>
      <w:r>
        <w:t xml:space="preserve">– The use of automated tools that use vulnerability signatures to find problems during the execution of an application.</w:t>
      </w:r>
    </w:p>
    <w:p>
      <w:pPr>
        <w:pStyle w:val="Compact"/>
        <w:numPr>
          <w:numId w:val="1021"/>
          <w:ilvl w:val="0"/>
        </w:numPr>
      </w:pPr>
      <w:r>
        <w:rPr>
          <w:b/>
        </w:rPr>
        <w:t xml:space="preserve">Globally Unique Identifier</w:t>
      </w:r>
      <w:r>
        <w:t xml:space="preserve"> </w:t>
      </w:r>
      <w:r>
        <w:t xml:space="preserve">(GUID) – a unique reference number used as an identifier in software.</w:t>
      </w:r>
    </w:p>
    <w:p>
      <w:pPr>
        <w:pStyle w:val="Compact"/>
        <w:numPr>
          <w:numId w:val="1021"/>
          <w:ilvl w:val="0"/>
        </w:numPr>
      </w:pPr>
      <w:r>
        <w:rPr>
          <w:b/>
        </w:rPr>
        <w:t xml:space="preserve">Hyper Text Transfer Protocol</w:t>
      </w:r>
      <w:r>
        <w:t xml:space="preserve"> </w:t>
      </w:r>
      <w:r>
        <w:t xml:space="preserve">(HTTP) – An application protocol for distributed, collaborative, hypermedia information systems. It is the foundation of data communication for the World Wide Web.</w:t>
      </w:r>
    </w:p>
    <w:p>
      <w:pPr>
        <w:pStyle w:val="Compact"/>
        <w:numPr>
          <w:numId w:val="1021"/>
          <w:ilvl w:val="0"/>
        </w:numPr>
      </w:pPr>
      <w:r>
        <w:rPr>
          <w:b/>
        </w:rPr>
        <w:t xml:space="preserve">Hardcoded keys</w:t>
      </w:r>
      <w:r>
        <w:t xml:space="preserve"> </w:t>
      </w:r>
      <w:r>
        <w:t xml:space="preserve">– Cryptographic keys which are stored in the device itself.</w:t>
      </w:r>
    </w:p>
    <w:p>
      <w:pPr>
        <w:pStyle w:val="Compact"/>
        <w:numPr>
          <w:numId w:val="1021"/>
          <w:ilvl w:val="0"/>
        </w:numPr>
      </w:pPr>
      <w:r>
        <w:rPr>
          <w:b/>
        </w:rPr>
        <w:t xml:space="preserve">IPC</w:t>
      </w:r>
      <w:r>
        <w:t xml:space="preserve"> </w:t>
      </w:r>
      <w:r>
        <w:t xml:space="preserve">– Inter Process Communications,In IPC Processes communicate with each other and with the kernel to coordinate their activities.</w:t>
      </w:r>
    </w:p>
    <w:p>
      <w:pPr>
        <w:pStyle w:val="Compact"/>
        <w:numPr>
          <w:numId w:val="1021"/>
          <w:ilvl w:val="0"/>
        </w:numPr>
      </w:pPr>
      <w:r>
        <w:rPr>
          <w:b/>
        </w:rPr>
        <w:t xml:space="preserve">Input Validation</w:t>
      </w:r>
      <w:r>
        <w:t xml:space="preserve"> </w:t>
      </w:r>
      <w:r>
        <w:t xml:space="preserve">– The canonicalization and validation of untrusted user input.</w:t>
      </w:r>
    </w:p>
    <w:p>
      <w:pPr>
        <w:pStyle w:val="Compact"/>
        <w:numPr>
          <w:numId w:val="1021"/>
          <w:ilvl w:val="0"/>
        </w:numPr>
      </w:pPr>
      <w:r>
        <w:rPr>
          <w:b/>
        </w:rPr>
        <w:t xml:space="preserve">JAVA Bytecode</w:t>
      </w:r>
      <w:r>
        <w:t xml:space="preserve"> </w:t>
      </w:r>
      <w:r>
        <w:t xml:space="preserve">- Java bytecode is the instruction set of the Java virtual machine(JVM). Each bytecode is composed of one, or in some cases two bytes that represent the instruction (opcode), along with zero or more bytes for passing parameters.</w:t>
      </w:r>
    </w:p>
    <w:p>
      <w:pPr>
        <w:pStyle w:val="Compact"/>
        <w:numPr>
          <w:numId w:val="1021"/>
          <w:ilvl w:val="0"/>
        </w:numPr>
      </w:pPr>
      <w:r>
        <w:rPr>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pStyle w:val="Compact"/>
        <w:numPr>
          <w:numId w:val="1021"/>
          <w:ilvl w:val="0"/>
        </w:numPr>
      </w:pPr>
      <w:r>
        <w:rPr>
          <w:b/>
        </w:rPr>
        <w:t xml:space="preserve">Malware</w:t>
      </w:r>
      <w:r>
        <w:t xml:space="preserve"> </w:t>
      </w:r>
      <w:r>
        <w:t xml:space="preserve">– Executable code that is introduced into an application during runtime without the knowledge of the application user or administrator.</w:t>
      </w:r>
    </w:p>
    <w:p>
      <w:pPr>
        <w:pStyle w:val="Compact"/>
        <w:numPr>
          <w:numId w:val="1021"/>
          <w:ilvl w:val="0"/>
        </w:numPr>
      </w:pPr>
      <w:r>
        <w:rPr>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125">
        <w:r>
          <w:rPr>
            <w:rStyle w:val="Hyperlink"/>
          </w:rPr>
          <w:t xml:space="preserve">http://www.owasp.org/</w:t>
        </w:r>
      </w:hyperlink>
    </w:p>
    <w:p>
      <w:pPr>
        <w:pStyle w:val="Compact"/>
        <w:numPr>
          <w:numId w:val="1021"/>
          <w:ilvl w:val="0"/>
        </w:numPr>
      </w:pPr>
      <w:r>
        <w:rPr>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pStyle w:val="Compact"/>
        <w:numPr>
          <w:numId w:val="1021"/>
          <w:ilvl w:val="0"/>
        </w:numPr>
      </w:pPr>
      <w:r>
        <w:rPr>
          <w:b/>
        </w:rPr>
        <w:t xml:space="preserve">PIE</w:t>
      </w:r>
      <w:r>
        <w:t xml:space="preserve"> </w:t>
      </w:r>
      <w:r>
        <w:t xml:space="preserve">– Position-independent executable (PIE) is a body of machine code that, being placed somewhere in the primary memory, executes properly regardless of its absolute address.</w:t>
      </w:r>
    </w:p>
    <w:p>
      <w:pPr>
        <w:pStyle w:val="Compact"/>
        <w:numPr>
          <w:numId w:val="1021"/>
          <w:ilvl w:val="0"/>
        </w:numPr>
      </w:pPr>
      <w:r>
        <w:rPr>
          <w:b/>
        </w:rPr>
        <w:t xml:space="preserve">PKI</w:t>
      </w:r>
      <w:r>
        <w:t xml:space="preserve"> </w:t>
      </w:r>
      <w:r>
        <w:t xml:space="preserve">– A PKI is an arrangement that binds public keys with respective identities of entities. The binding is established through a process of registration and issuance of certificates at and by a certificate authority (CA).</w:t>
      </w:r>
    </w:p>
    <w:p>
      <w:pPr>
        <w:pStyle w:val="Compact"/>
        <w:numPr>
          <w:numId w:val="1021"/>
          <w:ilvl w:val="0"/>
        </w:numPr>
      </w:pPr>
      <w:r>
        <w:rPr>
          <w:b/>
        </w:rPr>
        <w:t xml:space="preserve">SAST</w:t>
      </w:r>
      <w:r>
        <w:t xml:space="preserve"> </w:t>
      </w:r>
      <w:r>
        <w:t xml:space="preserve">–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pPr>
        <w:pStyle w:val="Compact"/>
        <w:numPr>
          <w:numId w:val="1021"/>
          <w:ilvl w:val="0"/>
        </w:numPr>
      </w:pPr>
      <w:r>
        <w:rPr>
          <w:b/>
        </w:rPr>
        <w:t xml:space="preserve">SDLC</w:t>
      </w:r>
      <w:r>
        <w:t xml:space="preserve"> </w:t>
      </w:r>
      <w:r>
        <w:t xml:space="preserve">– Software development lifecycle.</w:t>
      </w:r>
    </w:p>
    <w:p>
      <w:pPr>
        <w:pStyle w:val="Compact"/>
        <w:numPr>
          <w:numId w:val="1021"/>
          <w:ilvl w:val="0"/>
        </w:numPr>
      </w:pPr>
      <w:r>
        <w:rPr>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pStyle w:val="Compact"/>
        <w:numPr>
          <w:numId w:val="1021"/>
          <w:ilvl w:val="0"/>
        </w:numPr>
      </w:pPr>
      <w:r>
        <w:rPr>
          <w:b/>
        </w:rPr>
        <w:t xml:space="preserve">Security Configuration</w:t>
      </w:r>
      <w:r>
        <w:t xml:space="preserve"> </w:t>
      </w:r>
      <w:r>
        <w:t xml:space="preserve">– The runtime configuration of an application that affects how security controls are used.</w:t>
      </w:r>
    </w:p>
    <w:p>
      <w:pPr>
        <w:pStyle w:val="Compact"/>
        <w:numPr>
          <w:numId w:val="1021"/>
          <w:ilvl w:val="0"/>
        </w:numPr>
      </w:pPr>
      <w:r>
        <w:rPr>
          <w:b/>
        </w:rPr>
        <w:t xml:space="preserve">Security Control</w:t>
      </w:r>
      <w:r>
        <w:t xml:space="preserve"> </w:t>
      </w:r>
      <w:r>
        <w:t xml:space="preserve">– A function or component that performs a security check (e.g. an access control check) or when called results in a security effect (e.g. generating an audit record).</w:t>
      </w:r>
    </w:p>
    <w:p>
      <w:pPr>
        <w:pStyle w:val="Compact"/>
        <w:numPr>
          <w:numId w:val="1021"/>
          <w:ilvl w:val="0"/>
        </w:numPr>
      </w:pPr>
      <w:r>
        <w:rPr>
          <w:b/>
        </w:rPr>
        <w:t xml:space="preserve">SQL Injection (SQLi)</w:t>
      </w:r>
      <w:r>
        <w:t xml:space="preserve"> </w:t>
      </w:r>
      <w:r>
        <w:t xml:space="preserve">– A code injection technique used to attack data driven applications, in which malicious SQL statements are inserted into an entry point.</w:t>
      </w:r>
    </w:p>
    <w:p>
      <w:pPr>
        <w:pStyle w:val="Compact"/>
        <w:numPr>
          <w:numId w:val="1021"/>
          <w:ilvl w:val="0"/>
        </w:numPr>
      </w:pPr>
      <w:r>
        <w:rPr>
          <w:b/>
        </w:rPr>
        <w:t xml:space="preserve">SSO Authentication</w:t>
      </w:r>
      <w:r>
        <w:t xml:space="preserve"> </w:t>
      </w:r>
      <w:r>
        <w:t xml:space="preserve">– Single Sign On(SSO) occurs when a user logs in to one Client and is then signed in to other Clients automatically, regardless of the platform, technology, or domain the user is using. For example when you log in in google you automatically login in the youtube , docs and mail service.</w:t>
      </w:r>
    </w:p>
    <w:p>
      <w:pPr>
        <w:pStyle w:val="Compact"/>
        <w:numPr>
          <w:numId w:val="1021"/>
          <w:ilvl w:val="0"/>
        </w:numPr>
      </w:pPr>
      <w:r>
        <w:rPr>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pStyle w:val="Compact"/>
        <w:numPr>
          <w:numId w:val="1021"/>
          <w:ilvl w:val="0"/>
        </w:numPr>
      </w:pPr>
      <w:r>
        <w:rPr>
          <w:b/>
        </w:rPr>
        <w:t xml:space="preserve">Transport Layer Security</w:t>
      </w:r>
      <w:r>
        <w:t xml:space="preserve"> </w:t>
      </w:r>
      <w:r>
        <w:t xml:space="preserve">– Cryptographic protocols that provide communication security over the Internet</w:t>
      </w:r>
    </w:p>
    <w:p>
      <w:pPr>
        <w:pStyle w:val="Compact"/>
        <w:numPr>
          <w:numId w:val="1021"/>
          <w:ilvl w:val="0"/>
        </w:numPr>
      </w:pPr>
      <w:r>
        <w:rPr>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pStyle w:val="Compact"/>
        <w:numPr>
          <w:numId w:val="1021"/>
          <w:ilvl w:val="0"/>
        </w:numPr>
      </w:pPr>
      <w:r>
        <w:rPr>
          <w:b/>
        </w:rPr>
        <w:t xml:space="preserve">User acceptance testing (UAT)</w:t>
      </w:r>
      <w:r>
        <w:t xml:space="preserve">– Traditionally a test environment that behaves like the production environment where all software testing is performed before going live.</w:t>
      </w:r>
    </w:p>
    <w:p>
      <w:pPr>
        <w:pStyle w:val="Compact"/>
        <w:numPr>
          <w:numId w:val="1021"/>
          <w:ilvl w:val="0"/>
        </w:numPr>
      </w:pPr>
      <w:r>
        <w:rPr>
          <w:b/>
        </w:rPr>
        <w:t xml:space="preserve">Verifier</w:t>
      </w:r>
      <w:r>
        <w:t xml:space="preserve"> </w:t>
      </w:r>
      <w:r>
        <w:t xml:space="preserve">– The person or team that is reviewing an application against the OWASP ASVS requirements.</w:t>
      </w:r>
    </w:p>
    <w:p>
      <w:pPr>
        <w:pStyle w:val="Compact"/>
        <w:numPr>
          <w:numId w:val="1021"/>
          <w:ilvl w:val="0"/>
        </w:numPr>
      </w:pPr>
      <w:r>
        <w:rPr>
          <w:b/>
        </w:rPr>
        <w:t xml:space="preserve">Whitelist</w:t>
      </w:r>
      <w:r>
        <w:t xml:space="preserve"> </w:t>
      </w:r>
      <w:r>
        <w:t xml:space="preserve">– A list of permitted data or operations, for example a list of characters that are allowed to perform input validation.</w:t>
      </w:r>
    </w:p>
    <w:p>
      <w:pPr>
        <w:pStyle w:val="Compact"/>
        <w:numPr>
          <w:numId w:val="1021"/>
          <w:ilvl w:val="0"/>
        </w:numPr>
      </w:pPr>
      <w:r>
        <w:rPr>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pStyle w:val="Heading1"/>
      </w:pPr>
      <w:bookmarkStart w:id="126" w:name="appendix-b-references"/>
      <w:bookmarkEnd w:id="126"/>
      <w:r>
        <w:t xml:space="preserve">Appendix B: References</w:t>
      </w:r>
    </w:p>
    <w:p>
      <w:pPr>
        <w:pStyle w:val="FirstParagraph"/>
      </w:pPr>
      <w:r>
        <w:t xml:space="preserve">The following OWASP projects are most likely to be useful to users/adopters of this standard:</w:t>
      </w:r>
    </w:p>
    <w:p>
      <w:pPr>
        <w:pStyle w:val="Compact"/>
        <w:numPr>
          <w:numId w:val="1022"/>
          <w:ilvl w:val="0"/>
        </w:numPr>
      </w:pPr>
      <w:r>
        <w:t xml:space="preserve">OWASP Mobile Security Project -</w:t>
      </w:r>
      <w:r>
        <w:t xml:space="preserve"> </w:t>
      </w:r>
      <w:hyperlink r:id="rId127">
        <w:r>
          <w:rPr>
            <w:rStyle w:val="Hyperlink"/>
          </w:rPr>
          <w:t xml:space="preserve">https://www.owasp.org/index.php/OWASP_Mobile_Security_Project</w:t>
        </w:r>
      </w:hyperlink>
    </w:p>
    <w:p>
      <w:pPr>
        <w:pStyle w:val="Compact"/>
        <w:numPr>
          <w:numId w:val="1022"/>
          <w:ilvl w:val="0"/>
        </w:numPr>
      </w:pPr>
      <w:r>
        <w:t xml:space="preserve">OWASP Mobile Security Testing Guide -</w:t>
      </w:r>
      <w:r>
        <w:t xml:space="preserve"> </w:t>
      </w:r>
      <w:hyperlink r:id="rId128">
        <w:r>
          <w:rPr>
            <w:rStyle w:val="Hyperlink"/>
          </w:rPr>
          <w:t xml:space="preserve">https://www.owasp.org/index.php/OWASP_Mobile_Security_Testing_Guide</w:t>
        </w:r>
      </w:hyperlink>
    </w:p>
    <w:p>
      <w:pPr>
        <w:pStyle w:val="Compact"/>
        <w:numPr>
          <w:numId w:val="1022"/>
          <w:ilvl w:val="0"/>
        </w:numPr>
      </w:pPr>
      <w:r>
        <w:t xml:space="preserve">OWASP Mobile Top 10 Risks -</w:t>
      </w:r>
      <w:r>
        <w:t xml:space="preserve"> </w:t>
      </w:r>
      <w:hyperlink r:id="rId129">
        <w:r>
          <w:rPr>
            <w:rStyle w:val="Hyperlink"/>
          </w:rPr>
          <w:t xml:space="preserve">https://www.owasp.org/index.php/Projects/OWASP_Mobile_Security_Project_-_Top_Ten_Mobile_Risks</w:t>
        </w:r>
      </w:hyperlink>
    </w:p>
    <w:p>
      <w:pPr>
        <w:pStyle w:val="Compact"/>
        <w:numPr>
          <w:numId w:val="1022"/>
          <w:ilvl w:val="0"/>
        </w:numPr>
      </w:pPr>
      <w:r>
        <w:t xml:space="preserve">OWASP Reverse Engineering and Code Modification Prevention -</w:t>
      </w:r>
      <w:r>
        <w:t xml:space="preserve"> </w:t>
      </w:r>
      <w:hyperlink r:id="rId130">
        <w:r>
          <w:rPr>
            <w:rStyle w:val="Hyperlink"/>
          </w:rPr>
          <w:t xml:space="preserve">https://www.owasp.org/index.php/OWASP_Reverse_Engineering_and_Code_Modification_Prevention_Project</w:t>
        </w:r>
      </w:hyperlink>
    </w:p>
    <w:p>
      <w:pPr>
        <w:pStyle w:val="FirstParagraph"/>
      </w:pPr>
      <w:r>
        <w:t xml:space="preserve">Similarly, the following web sites are most likely to be useful to users/adopters of this standard:</w:t>
      </w:r>
    </w:p>
    <w:p>
      <w:pPr>
        <w:pStyle w:val="Compact"/>
        <w:numPr>
          <w:numId w:val="1023"/>
          <w:ilvl w:val="0"/>
        </w:numPr>
      </w:pPr>
      <w:r>
        <w:t xml:space="preserve">MITRE Common Weakness Enumeration -</w:t>
      </w:r>
      <w:r>
        <w:t xml:space="preserve"> </w:t>
      </w:r>
      <w:hyperlink r:id="rId131">
        <w:r>
          <w:rPr>
            <w:rStyle w:val="Hyperlink"/>
          </w:rPr>
          <w:t xml:space="preserve">http://cwe.mitre.org/</w:t>
        </w:r>
      </w:hyperlink>
    </w:p>
    <w:p>
      <w:pPr>
        <w:pStyle w:val="Compact"/>
        <w:numPr>
          <w:numId w:val="1023"/>
          <w:ilvl w:val="0"/>
        </w:numPr>
      </w:pPr>
      <w:r>
        <w:t xml:space="preserve">PCI Security Standards Council -</w:t>
      </w:r>
      <w:r>
        <w:t xml:space="preserve"> </w:t>
      </w:r>
      <w:hyperlink r:id="rId132">
        <w:r>
          <w:rPr>
            <w:rStyle w:val="Hyperlink"/>
          </w:rPr>
          <w:t xml:space="preserve">https://www.pcisecuritystandards.org</w:t>
        </w:r>
      </w:hyperlink>
    </w:p>
    <w:p>
      <w:pPr>
        <w:pStyle w:val="Compact"/>
        <w:numPr>
          <w:numId w:val="1023"/>
          <w:ilvl w:val="0"/>
        </w:numPr>
      </w:pPr>
      <w:r>
        <w:t xml:space="preserve">PCI Data Security Standard (DSS) v3.0 Requirements and Security Assessment Procedures</w:t>
      </w:r>
      <w:r>
        <w:t xml:space="preserve"> </w:t>
      </w:r>
      <w:hyperlink r:id="rId133">
        <w:r>
          <w:rPr>
            <w:rStyle w:val="Hyperlink"/>
          </w:rPr>
          <w:t xml:space="preserve">https://www.pcisecuritystandards.org/documents/PCI_DSS_v3.pdf</w:t>
        </w:r>
      </w:hyperlink>
    </w:p>
    <w:sectPr w:rsidR="00BA7AD0" w:rsidRPr="00DB6AB5" w:rsidSect="008A3549">
      <w:headerReference w:type="even" r:id="rId8"/>
      <w:headerReference w:type="default" r:id="rId10"/>
      <w:footerReference w:type="even" r:id="rId12"/>
      <w:footerReference w:type="default" r:id="rId11"/>
      <w:headerReference w:type="first" r:id="rId9"/>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DB6AB5">
            <w:rPr>
              <w:noProof/>
              <w:sz w:val="20"/>
              <w:szCs w:val="20"/>
            </w:rPr>
            <w:t>10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6E3C326C" w:rsidR="00597769" w:rsidRPr="00856D99" w:rsidRDefault="00597769" w:rsidP="00BD5F80">
              <w:pPr>
                <w:pStyle w:val="Header"/>
                <w:rPr>
                  <w:sz w:val="20"/>
                  <w:szCs w:val="20"/>
                </w:rPr>
              </w:pPr>
              <w:r>
                <w:rPr>
                  <w:sz w:val="20"/>
                  <w:szCs w:val="20"/>
                </w:rPr>
                <w:t>OWASP Application Security Verification Standard 3.1</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55D9138F" w:rsidR="00597769" w:rsidRPr="00856D99" w:rsidRDefault="00597769" w:rsidP="007926E1">
              <w:pPr>
                <w:pStyle w:val="Header"/>
                <w:rPr>
                  <w:sz w:val="20"/>
                  <w:szCs w:val="20"/>
                </w:rPr>
              </w:pPr>
              <w:r w:rsidRPr="00856D99">
                <w:rPr>
                  <w:sz w:val="20"/>
                  <w:szCs w:val="20"/>
                </w:rPr>
                <w:t>OWASP Application Security Verification Standard 3.</w:t>
              </w:r>
              <w:r>
                <w:rPr>
                  <w:sz w:val="20"/>
                  <w:szCs w:val="20"/>
                </w:rPr>
                <w:t>1</w:t>
              </w:r>
            </w:p>
          </w:tc>
        </w:sdtContent>
      </w:sdt>
      <w:tc>
        <w:tcPr>
          <w:tcW w:w="248" w:type="pct"/>
          <w:tcBorders>
            <w:left w:val="single" w:sz="18" w:space="0" w:color="5B9BD5" w:themeColor="accent1"/>
          </w:tcBorders>
        </w:tcPr>
        <w:p w14:paraId="376A77A8" w14:textId="69B80633" w:rsidR="00597769" w:rsidRPr="00856D99" w:rsidRDefault="00597769"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DB6AB5">
            <w:rPr>
              <w:noProof/>
              <w:sz w:val="20"/>
              <w:szCs w:val="20"/>
            </w:rPr>
            <w:t>9</w:t>
          </w:r>
          <w:r w:rsidRPr="00856D99">
            <w:rPr>
              <w:sz w:val="20"/>
              <w:szCs w:val="20"/>
            </w:rPr>
            <w:fldChar w:fldCharType="end"/>
          </w:r>
        </w:p>
      </w:tc>
    </w:tr>
  </w:tbl>
  <w:p w14:paraId="3F4FC5CB" w14:textId="77777777" w:rsidR="00597769" w:rsidRDefault="00597769" w:rsidP="00BD5F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7D55E" w14:textId="4DD5480B"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AFA1D" w14:textId="333ADA25" w:rsidR="00597769" w:rsidRDefault="00597769">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0">
    <w:nsid w:val="fdd692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3a36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hyperlink" Id="rId63" Target="" TargetMode="External" /><Relationship Type="http://schemas.openxmlformats.org/officeDocument/2006/relationships/hyperlink" Id="rId58" Target="http://csrc.nist.gov/publications/nistpubs/800-57/sp800-57-Part1-revised2_Mar08-2007.pdf" TargetMode="External" /><Relationship Type="http://schemas.openxmlformats.org/officeDocument/2006/relationships/hyperlink" Id="rId131" Target="http://cwe.mitre.org/" TargetMode="External" /><Relationship Type="http://schemas.openxmlformats.org/officeDocument/2006/relationships/hyperlink" Id="rId27" Target="http://owasp.herokuapp.com/" TargetMode="External" /><Relationship Type="http://schemas.openxmlformats.org/officeDocument/2006/relationships/hyperlink" Id="rId125" Target="http://www.owasp.org/" TargetMode="External" /><Relationship Type="http://schemas.openxmlformats.org/officeDocument/2006/relationships/hyperlink" Id="rId26" Target="https://owasp.slack.com/messages/project-mobile_omtg/details/" TargetMode="External" /><Relationship Type="http://schemas.openxmlformats.org/officeDocument/2006/relationships/hyperlink" Id="rId57" Target="https://www.microsoft.com/en-us/sdl/" TargetMode="External" /><Relationship Type="http://schemas.openxmlformats.org/officeDocument/2006/relationships/hyperlink" Id="rId53" Target="https://www.owasp.org/index.php/Application_Security_Architecture_Cheat_Sheet" TargetMode="External" /><Relationship Type="http://schemas.openxmlformats.org/officeDocument/2006/relationships/hyperlink" Id="rId55" Target="https://www.owasp.org/index.php/Application_Threat_Modeling" TargetMode="External" /><Relationship Type="http://schemas.openxmlformats.org/officeDocument/2006/relationships/hyperlink" Id="rId54" Target="https://www.owasp.org/index.php/Attack_Surface_Analysis_Cheat_Sheet" TargetMode="External" /><Relationship Type="http://schemas.openxmlformats.org/officeDocument/2006/relationships/hyperlink" Id="rId127" Target="https://www.owasp.org/index.php/OWASP_Mobile_Security_Project" TargetMode="External" /><Relationship Type="http://schemas.openxmlformats.org/officeDocument/2006/relationships/hyperlink" Id="rId128" Target="https://www.owasp.org/index.php/OWASP_Mobile_Security_Testing_Guide" TargetMode="External" /><Relationship Type="http://schemas.openxmlformats.org/officeDocument/2006/relationships/hyperlink" Id="rId130" Target="https://www.owasp.org/index.php/OWASP_Reverse_Engineering_and_Code_Modification_Prevention_Project" TargetMode="External" /><Relationship Type="http://schemas.openxmlformats.org/officeDocument/2006/relationships/hyperlink" Id="rId129" Target="https://www.owasp.org/index.php/Projects/OWASP_Mobile_Security_Project_-_Top_Ten_Mobile_Risks" TargetMode="External" /><Relationship Type="http://schemas.openxmlformats.org/officeDocument/2006/relationships/hyperlink" Id="rId56" Target="https://www.owasp.org/index.php/Secure_SDLC_Cheat_Sheet" TargetMode="External" /><Relationship Type="http://schemas.openxmlformats.org/officeDocument/2006/relationships/hyperlink" Id="rId132" Target="https://www.pcisecuritystandards.org" TargetMode="External" /><Relationship Type="http://schemas.openxmlformats.org/officeDocument/2006/relationships/hyperlink" Id="rId133" Target="https://www.pcisecuritystandards.org/documents/PCI_DSS_v3.pdf" TargetMode="External" /></Relationships>
</file>

<file path=word/_rels/footnotes.xml.rels><?xml version="1.0" encoding="UTF-8"?>
<Relationships xmlns="http://schemas.openxmlformats.org/package/2006/relationships"><Relationship Type="http://schemas.openxmlformats.org/officeDocument/2006/relationships/hyperlink" Id="rId63" Target="" TargetMode="External" /><Relationship Type="http://schemas.openxmlformats.org/officeDocument/2006/relationships/hyperlink" Id="rId58" Target="http://csrc.nist.gov/publications/nistpubs/800-57/sp800-57-Part1-revised2_Mar08-2007.pdf" TargetMode="External" /><Relationship Type="http://schemas.openxmlformats.org/officeDocument/2006/relationships/hyperlink" Id="rId131" Target="http://cwe.mitre.org/" TargetMode="External" /><Relationship Type="http://schemas.openxmlformats.org/officeDocument/2006/relationships/hyperlink" Id="rId27" Target="http://owasp.herokuapp.com/" TargetMode="External" /><Relationship Type="http://schemas.openxmlformats.org/officeDocument/2006/relationships/hyperlink" Id="rId125" Target="http://www.owasp.org/" TargetMode="External" /><Relationship Type="http://schemas.openxmlformats.org/officeDocument/2006/relationships/hyperlink" Id="rId26" Target="https://owasp.slack.com/messages/project-mobile_omtg/details/" TargetMode="External" /><Relationship Type="http://schemas.openxmlformats.org/officeDocument/2006/relationships/hyperlink" Id="rId57" Target="https://www.microsoft.com/en-us/sdl/" TargetMode="External" /><Relationship Type="http://schemas.openxmlformats.org/officeDocument/2006/relationships/hyperlink" Id="rId53" Target="https://www.owasp.org/index.php/Application_Security_Architecture_Cheat_Sheet" TargetMode="External" /><Relationship Type="http://schemas.openxmlformats.org/officeDocument/2006/relationships/hyperlink" Id="rId55" Target="https://www.owasp.org/index.php/Application_Threat_Modeling" TargetMode="External" /><Relationship Type="http://schemas.openxmlformats.org/officeDocument/2006/relationships/hyperlink" Id="rId54" Target="https://www.owasp.org/index.php/Attack_Surface_Analysis_Cheat_Sheet" TargetMode="External" /><Relationship Type="http://schemas.openxmlformats.org/officeDocument/2006/relationships/hyperlink" Id="rId127" Target="https://www.owasp.org/index.php/OWASP_Mobile_Security_Project" TargetMode="External" /><Relationship Type="http://schemas.openxmlformats.org/officeDocument/2006/relationships/hyperlink" Id="rId128" Target="https://www.owasp.org/index.php/OWASP_Mobile_Security_Testing_Guide" TargetMode="External" /><Relationship Type="http://schemas.openxmlformats.org/officeDocument/2006/relationships/hyperlink" Id="rId130" Target="https://www.owasp.org/index.php/OWASP_Reverse_Engineering_and_Code_Modification_Prevention_Project" TargetMode="External" /><Relationship Type="http://schemas.openxmlformats.org/officeDocument/2006/relationships/hyperlink" Id="rId129" Target="https://www.owasp.org/index.php/Projects/OWASP_Mobile_Security_Project_-_Top_Ten_Mobile_Risks" TargetMode="External" /><Relationship Type="http://schemas.openxmlformats.org/officeDocument/2006/relationships/hyperlink" Id="rId56" Target="https://www.owasp.org/index.php/Secure_SDLC_Cheat_Sheet" TargetMode="External" /><Relationship Type="http://schemas.openxmlformats.org/officeDocument/2006/relationships/hyperlink" Id="rId132" Target="https://www.pcisecuritystandards.org" TargetMode="External" /><Relationship Type="http://schemas.openxmlformats.org/officeDocument/2006/relationships/hyperlink" Id="rId133" Target="https://www.pcisecuritystandards.org/documents/PCI_DSS_v3.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Company>Threat Intelligence</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2017-10-15T19:46:22Z</dcterms:created>
  <dcterms:modified xsi:type="dcterms:W3CDTF">2017-10-15T19:46:22Z</dcterms:modified>
</cp:coreProperties>
</file>