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414977"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414977"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414977"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414977"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414977"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414977"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414977"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414977"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414977"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414977"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414977"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414977"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414977"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414977"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414977"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414977"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414977"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414977"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414977"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414977"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414977"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414977"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414977"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414977"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414977"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414977"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414977"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414977"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414977"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Boy Baukema</w:t>
            </w:r>
          </w:p>
        </w:tc>
        <w:tc>
          <w:tcPr>
            <w:tcW w:w="1859" w:type="dxa"/>
            <w:vAlign w:val="center"/>
          </w:tcPr>
          <w:p w14:paraId="5FDED647" w14:textId="6AF87D35" w:rsidR="00252DC9" w:rsidRPr="0091782B" w:rsidRDefault="00252DC9" w:rsidP="00BD5F80">
            <w:r w:rsidRPr="0091782B">
              <w:t>Ari Kesäniemi</w:t>
            </w:r>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Jim Manico</w:t>
            </w:r>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François-Eric   Guyomarc’h</w:t>
            </w:r>
          </w:p>
        </w:tc>
        <w:tc>
          <w:tcPr>
            <w:tcW w:w="1859" w:type="dxa"/>
            <w:vAlign w:val="center"/>
          </w:tcPr>
          <w:p w14:paraId="7DD95813" w14:textId="3ECB890A" w:rsidR="00252DC9" w:rsidRPr="0091782B" w:rsidRDefault="00252DC9" w:rsidP="00BD5F80">
            <w:r>
              <w:t xml:space="preserve">Cristinel Dumitru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r w:rsidRPr="0091782B">
              <w:t>Sahba Kazerooni</w:t>
            </w:r>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Antonio Fontes</w:t>
            </w:r>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r w:rsidRPr="0091782B">
              <w:t>Pekka Sillanpää</w:t>
            </w:r>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Archangel Cuison</w:t>
            </w:r>
          </w:p>
        </w:tc>
        <w:tc>
          <w:tcPr>
            <w:tcW w:w="1859" w:type="dxa"/>
            <w:vAlign w:val="center"/>
          </w:tcPr>
          <w:p w14:paraId="65EF0EAF" w14:textId="6EE44994" w:rsidR="0091782B" w:rsidRPr="0091782B" w:rsidRDefault="0091782B" w:rsidP="00BD5F80">
            <w:r w:rsidRPr="0091782B">
              <w:t>Dr Emin Tatli</w:t>
            </w:r>
          </w:p>
        </w:tc>
        <w:tc>
          <w:tcPr>
            <w:tcW w:w="1859" w:type="dxa"/>
            <w:vAlign w:val="center"/>
          </w:tcPr>
          <w:p w14:paraId="1F133FF8" w14:textId="004B3E42" w:rsidR="0091782B" w:rsidRPr="0091782B" w:rsidRDefault="0091782B" w:rsidP="00BD5F80">
            <w:r w:rsidRPr="0091782B">
              <w:t>Jerome Athias</w:t>
            </w:r>
          </w:p>
        </w:tc>
        <w:tc>
          <w:tcPr>
            <w:tcW w:w="1859" w:type="dxa"/>
            <w:vAlign w:val="center"/>
          </w:tcPr>
          <w:p w14:paraId="4089D241" w14:textId="6907E91D" w:rsidR="0091782B" w:rsidRPr="0091782B" w:rsidRDefault="0091782B" w:rsidP="00BD5F80">
            <w:r w:rsidRPr="0091782B">
              <w:t>Safuat Hamdy</w:t>
            </w:r>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Ari Kesäniemi</w:t>
            </w:r>
          </w:p>
        </w:tc>
        <w:tc>
          <w:tcPr>
            <w:tcW w:w="1859" w:type="dxa"/>
            <w:vAlign w:val="center"/>
          </w:tcPr>
          <w:p w14:paraId="64CBE5FA" w14:textId="46E7A15C" w:rsidR="0091782B" w:rsidRPr="0091782B" w:rsidRDefault="0091782B" w:rsidP="00BD5F80">
            <w:r w:rsidRPr="0091782B">
              <w:t>Etienne Stalmans</w:t>
            </w:r>
          </w:p>
        </w:tc>
        <w:tc>
          <w:tcPr>
            <w:tcW w:w="1859" w:type="dxa"/>
            <w:vAlign w:val="center"/>
          </w:tcPr>
          <w:p w14:paraId="7D429A62" w14:textId="61A011C3" w:rsidR="0091782B" w:rsidRPr="0091782B" w:rsidRDefault="0091782B" w:rsidP="00BD5F80">
            <w:r w:rsidRPr="0091782B">
              <w:t>Jim Manico</w:t>
            </w:r>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Boy Baukema</w:t>
            </w:r>
          </w:p>
        </w:tc>
        <w:tc>
          <w:tcPr>
            <w:tcW w:w="1859" w:type="dxa"/>
            <w:vAlign w:val="center"/>
          </w:tcPr>
          <w:p w14:paraId="13CA6ED1" w14:textId="3F262428" w:rsidR="0091782B" w:rsidRPr="0091782B" w:rsidRDefault="0091782B" w:rsidP="00BD5F80">
            <w:r w:rsidRPr="0091782B">
              <w:t>Evan Gaustad</w:t>
            </w:r>
          </w:p>
        </w:tc>
        <w:tc>
          <w:tcPr>
            <w:tcW w:w="1859" w:type="dxa"/>
            <w:vAlign w:val="center"/>
          </w:tcPr>
          <w:p w14:paraId="580A078A" w14:textId="54D650FD" w:rsidR="0091782B" w:rsidRPr="0091782B" w:rsidRDefault="0091782B" w:rsidP="00BD5F80">
            <w:r w:rsidRPr="0091782B">
              <w:t>Mait Peekma</w:t>
            </w:r>
          </w:p>
        </w:tc>
        <w:tc>
          <w:tcPr>
            <w:tcW w:w="1859" w:type="dxa"/>
            <w:vAlign w:val="center"/>
          </w:tcPr>
          <w:p w14:paraId="13D01B24" w14:textId="23716A81" w:rsidR="0091782B" w:rsidRPr="0091782B" w:rsidRDefault="0091782B" w:rsidP="00BD5F80">
            <w:r w:rsidRPr="0091782B">
              <w:t>Sebastien Deleersnyder</w:t>
            </w:r>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Mike Boberski</w:t>
            </w:r>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Dave Wichers</w:t>
            </w:r>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r w:rsidRPr="009B6EC5">
              <w:t>Dr. Sarbari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Pierre Parrend</w:t>
            </w:r>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r w:rsidRPr="009B6EC5">
              <w:t>Dr.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r w:rsidRPr="009B6EC5">
              <w:t>Bedirhan Urgun</w:t>
            </w:r>
          </w:p>
        </w:tc>
        <w:tc>
          <w:tcPr>
            <w:tcW w:w="1859" w:type="dxa"/>
            <w:vAlign w:val="center"/>
          </w:tcPr>
          <w:p w14:paraId="1715A8AA" w14:textId="4585CF61" w:rsidR="009B6EC5" w:rsidRPr="009B6EC5" w:rsidRDefault="009B6EC5" w:rsidP="00BD5F80">
            <w:r w:rsidRPr="009B6EC5">
              <w:t>Eoin Keary</w:t>
            </w:r>
          </w:p>
        </w:tc>
        <w:tc>
          <w:tcPr>
            <w:tcW w:w="1859" w:type="dxa"/>
            <w:vAlign w:val="center"/>
          </w:tcPr>
          <w:p w14:paraId="34F44D36" w14:textId="60AE1F20" w:rsidR="009B6EC5" w:rsidRPr="009B6EC5" w:rsidRDefault="009B6EC5" w:rsidP="00BD5F80">
            <w:r w:rsidRPr="009B6EC5">
              <w:t>Ketan Dilipkumar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r w:rsidRPr="009B6EC5">
              <w:t>Gaurang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r w:rsidRPr="009B6EC5">
              <w:t>Shouvik Bardhan</w:t>
            </w:r>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r w:rsidRPr="009B6EC5">
              <w:t xml:space="preserve">Mandeep Khera </w:t>
            </w:r>
          </w:p>
        </w:tc>
        <w:tc>
          <w:tcPr>
            <w:tcW w:w="1859" w:type="dxa"/>
            <w:vAlign w:val="center"/>
          </w:tcPr>
          <w:p w14:paraId="61210D5B" w14:textId="3E58A337" w:rsidR="009B6EC5" w:rsidRPr="009B6EC5" w:rsidRDefault="009B6EC5" w:rsidP="00BD5F80">
            <w:r w:rsidRPr="009B6EC5">
              <w:t>Stan Wisseman</w:t>
            </w:r>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Dave Hausladen</w:t>
            </w:r>
          </w:p>
        </w:tc>
        <w:tc>
          <w:tcPr>
            <w:tcW w:w="1859" w:type="dxa"/>
            <w:vAlign w:val="center"/>
          </w:tcPr>
          <w:p w14:paraId="41A201D7" w14:textId="50709234" w:rsidR="009B6EC5" w:rsidRPr="009B6EC5" w:rsidRDefault="009B6EC5" w:rsidP="00BD5F80">
            <w:r w:rsidRPr="009B6EC5">
              <w:t>Jeff LoSapio</w:t>
            </w:r>
          </w:p>
        </w:tc>
        <w:tc>
          <w:tcPr>
            <w:tcW w:w="1859" w:type="dxa"/>
            <w:vAlign w:val="center"/>
          </w:tcPr>
          <w:p w14:paraId="7F2D6846" w14:textId="11127BC7" w:rsidR="009B6EC5" w:rsidRPr="009B6EC5" w:rsidRDefault="009B6EC5" w:rsidP="00BD5F80">
            <w:r w:rsidRPr="009B6EC5">
              <w:t>Matt Presson</w:t>
            </w:r>
          </w:p>
        </w:tc>
        <w:tc>
          <w:tcPr>
            <w:tcW w:w="1859" w:type="dxa"/>
            <w:vAlign w:val="center"/>
          </w:tcPr>
          <w:p w14:paraId="0C063719" w14:textId="697A5A95" w:rsidR="009B6EC5" w:rsidRPr="009B6EC5" w:rsidRDefault="009B6EC5" w:rsidP="00BD5F80">
            <w:r w:rsidRPr="009B6EC5">
              <w:t>Stephen de Vries</w:t>
            </w:r>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Theodore Winograd</w:t>
            </w:r>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Paul Douthit</w:t>
            </w:r>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2015 The OWASP Foundation. This document is released under the Creative Commons Attribution ShareAlike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How to Use This Standard</w:t>
      </w:r>
      <w:bookmarkEnd w:id="6"/>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addition.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etc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work</w:t>
      </w:r>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consider)</w:t>
      </w:r>
    </w:p>
    <w:p w14:paraId="30B177BF" w14:textId="77777777" w:rsidR="009B2F06" w:rsidRPr="009B2F06" w:rsidRDefault="009B2F06" w:rsidP="009B2F06">
      <w:pPr>
        <w:rPr>
          <w:highlight w:val="yellow"/>
        </w:rPr>
      </w:pPr>
      <w:r w:rsidRPr="009B2F06">
        <w:rPr>
          <w:highlight w:val="yellow"/>
        </w:rPr>
        <w:t>In practice, I would think that at the very least, the team needs to understand how HTTP works, how things like HTTP parameters and requests get handled in their application, and what an injection is (as a general concept, not just XSS and SQLi).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etc?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bcrypt, scrypt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30F4C953" w:rsidR="005D2572" w:rsidRPr="00D8689B" w:rsidRDefault="006B7EC4" w:rsidP="006B7EC4">
            <w:pPr>
              <w:pStyle w:val="TableBody"/>
              <w:cnfStyle w:val="000000100000" w:firstRow="0" w:lastRow="0" w:firstColumn="0" w:lastColumn="0" w:oddVBand="0" w:evenVBand="0" w:oddHBand="1" w:evenHBand="0" w:firstRowFirstColumn="0" w:firstRowLastColumn="0" w:lastRowFirstColumn="0" w:lastRowLastColumn="0"/>
            </w:pPr>
            <w:r>
              <w:t xml:space="preserve">Verify that the </w:t>
            </w:r>
            <w:r w:rsidR="005D2572" w:rsidRPr="00234AFD">
              <w:t>use of commonly chosen password</w:t>
            </w:r>
            <w:r>
              <w:t xml:space="preserve">s and weak passphrases (such as “let me in” or “Password1!”) are in place.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r w:rsidRPr="00735E91">
        <w:rPr>
          <w:highlight w:val="yellow"/>
        </w:rPr>
        <w:t>LoA</w:t>
      </w:r>
      <w:r w:rsidRPr="00234AFD">
        <w:t>)</w:t>
      </w:r>
      <w:r w:rsidR="00DF702A">
        <w:br w:type="page"/>
      </w:r>
    </w:p>
    <w:p w14:paraId="1BF8F608" w14:textId="77777777" w:rsidR="00DF702A" w:rsidRDefault="00DF702A" w:rsidP="00BD5F80">
      <w:pPr>
        <w:pStyle w:val="Heading1"/>
      </w:pPr>
      <w:bookmarkStart w:id="15" w:name="_Toc419822108"/>
      <w:r>
        <w:lastRenderedPageBreak/>
        <w:t>V3: Session Management Verification Requirements</w:t>
      </w:r>
      <w:bookmarkEnd w:id="15"/>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 xml:space="preserve">Verify that authenticated session tokens using cookies are protected by the use of "HttpOnly".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24B7E24A" w:rsidR="00F36038" w:rsidRPr="003F2DE6"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 and a strict transport security header (such as Strict-Transport-Security: max-age=60000; includeSubDomains) are present. *** Remove HSTS header requirement, make it a separate item in data protection section...</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6" w:name="_Toc419822109"/>
      <w:r>
        <w:lastRenderedPageBreak/>
        <w:t>V4: Access Control Verification Requirements</w:t>
      </w:r>
      <w:bookmarkEnd w:id="16"/>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directory browsing is disabled unless deliberately desired. Additionally, applications should not allow file or directory metadata, such as Thumbs.db, .DS_Store, .git or .svn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7"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7"/>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8"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8"/>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random numbers, random file names, random GUIDs, and random strings are generated using the cryptographic module’s approved random number generator when these random values are intended to be unguessable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19"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19"/>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0" w:name="_Toc419822113"/>
      <w:r>
        <w:lastRenderedPageBreak/>
        <w:t xml:space="preserve">V9: Data </w:t>
      </w:r>
      <w:r w:rsidR="00C801A4">
        <w:t>p</w:t>
      </w:r>
      <w:r>
        <w:t xml:space="preserve">rotection </w:t>
      </w:r>
      <w:r w:rsidR="00C801A4">
        <w:t>v</w:t>
      </w:r>
      <w:r>
        <w:t xml:space="preserve">erification </w:t>
      </w:r>
      <w:r w:rsidR="00C801A4">
        <w:t>r</w:t>
      </w:r>
      <w:r>
        <w:t>equirements</w:t>
      </w:r>
      <w:bookmarkEnd w:id="20"/>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AppSensor,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peronally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1"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1"/>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1AA95EA5" w:rsidR="00F1260C" w:rsidRPr="00EA7027" w:rsidRDefault="008E2D42" w:rsidP="00085FFB">
            <w:pPr>
              <w:pStyle w:val="TableBody"/>
              <w:cnfStyle w:val="000000000000" w:firstRow="0" w:lastRow="0" w:firstColumn="0" w:lastColumn="0" w:oddVBand="0" w:evenVBand="0" w:oddHBand="0" w:evenHBand="0" w:firstRowFirstColumn="0" w:firstRowLastColumn="0" w:lastRowFirstColumn="0" w:lastRowLastColumn="0"/>
            </w:pPr>
            <w:r w:rsidRPr="008E2D42">
              <w:t xml:space="preserve">Verify that there is a single standard TLS implementation that is used by the application that is configured to operate in an approved mode of operation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 xml:space="preserve">TLS certificate public key pinning is implemented with production and backup public keys.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085FFB"/>
    <w:p w14:paraId="54116E21" w14:textId="77777777" w:rsidR="003C52FF" w:rsidRDefault="003C52FF" w:rsidP="003C52FF">
      <w:pPr>
        <w:pStyle w:val="Heading2"/>
      </w:pPr>
      <w:r>
        <w:t>References</w:t>
      </w:r>
    </w:p>
    <w:p w14:paraId="62A6FA03" w14:textId="77777777" w:rsidR="00424FB9" w:rsidRPr="000C536A" w:rsidRDefault="00424FB9" w:rsidP="003657C8">
      <w:pPr>
        <w:pStyle w:val="ListParagraph"/>
        <w:numPr>
          <w:ilvl w:val="0"/>
          <w:numId w:val="20"/>
        </w:numPr>
      </w:pPr>
      <w:r>
        <w:rPr>
          <w:b/>
        </w:rPr>
        <w:t xml:space="preserve">OWASP – TLS Cheat Sheet. </w:t>
      </w:r>
      <w:hyperlink r:id="rId18" w:history="1">
        <w:r w:rsidRPr="000C536A">
          <w:rPr>
            <w:rStyle w:val="Hyperlink"/>
          </w:rPr>
          <w:t>https://www.owasp.org/index.php/Transport_Layer_Protection_Cheat_Sheet</w:t>
        </w:r>
      </w:hyperlink>
      <w:r w:rsidRPr="000C536A">
        <w:t xml:space="preserve"> </w:t>
      </w:r>
    </w:p>
    <w:p w14:paraId="6EA0967D" w14:textId="5ED11413" w:rsidR="00085FFB" w:rsidRPr="00085FFB" w:rsidRDefault="00424FB9" w:rsidP="003657C8">
      <w:pPr>
        <w:pStyle w:val="ListParagraph"/>
        <w:numPr>
          <w:ilvl w:val="0"/>
          <w:numId w:val="20"/>
        </w:numPr>
      </w:pPr>
      <w:r>
        <w:rPr>
          <w:b/>
        </w:rPr>
        <w:t>Notes on “A</w:t>
      </w:r>
      <w:r w:rsidR="00085FFB" w:rsidRPr="00085FFB">
        <w:rPr>
          <w:b/>
        </w:rPr>
        <w:t>pproved modes of TLS</w:t>
      </w:r>
      <w:r>
        <w:rPr>
          <w:b/>
        </w:rPr>
        <w:t>”</w:t>
      </w:r>
      <w:r w:rsidR="00085FFB">
        <w:t xml:space="preserve">. In the past, the ASVS referred to the US standard FIPS 140-2, but as a global standard, applying US standards this can be difficult, contradictory, or confusing to apply. A better method of achieving compliance with 10.8 would be to </w:t>
      </w:r>
      <w:r w:rsidR="00C2350A">
        <w:t>review guides such as (</w:t>
      </w:r>
      <w:hyperlink r:id="rId19" w:history="1">
        <w:r w:rsidR="00C2350A" w:rsidRPr="00157203">
          <w:rPr>
            <w:rStyle w:val="Hyperlink"/>
          </w:rPr>
          <w:t>https://wiki.mozilla.org/Security/Server_Side_TLS)</w:t>
        </w:r>
      </w:hyperlink>
      <w:r w:rsidR="00C2350A">
        <w:t>, generate known good configurations (</w:t>
      </w:r>
      <w:hyperlink r:id="rId20" w:history="1">
        <w:r w:rsidR="00C2350A" w:rsidRPr="00157203">
          <w:rPr>
            <w:rStyle w:val="Hyperlink"/>
          </w:rPr>
          <w:t>https://mozilla.github.io/server-side-tls/ssl-config-generator/</w:t>
        </w:r>
      </w:hyperlink>
      <w:r w:rsidR="00C2350A">
        <w:t xml:space="preserve">), and </w:t>
      </w:r>
      <w:r w:rsidR="00085FFB">
        <w:t>use known TLS evaluation tools, such as sslyze, various vulnerability scanners or trusted TLS online assessment services to obtain a desired level of security.</w:t>
      </w:r>
      <w:r w:rsidR="00401AC6">
        <w:t xml:space="preserve"> In general, we see non-compliance for this section being the use of outdated or insecure ciphers and algorithms, the lack of perfect forward secrecy, outdated or insecure SSL protocols, </w:t>
      </w:r>
      <w:r w:rsidR="00653FC6">
        <w:t xml:space="preserve">weak preferred ciphers, </w:t>
      </w:r>
      <w:r w:rsidR="00401AC6">
        <w:t xml:space="preserve">and so on. </w:t>
      </w:r>
    </w:p>
    <w:p w14:paraId="2097EB38" w14:textId="18F056D2" w:rsidR="00647177" w:rsidRDefault="00647177" w:rsidP="003657C8">
      <w:pPr>
        <w:pStyle w:val="ListParagraph"/>
        <w:numPr>
          <w:ilvl w:val="0"/>
          <w:numId w:val="20"/>
        </w:numPr>
      </w:pPr>
      <w:r w:rsidRPr="00F3761C">
        <w:rPr>
          <w:b/>
        </w:rPr>
        <w:lastRenderedPageBreak/>
        <w:t>Certificate pinning</w:t>
      </w:r>
      <w:r>
        <w:t xml:space="preserve">. For more information please review </w:t>
      </w:r>
      <w:hyperlink r:id="rId21" w:history="1">
        <w:r w:rsidRPr="00157203">
          <w:rPr>
            <w:rStyle w:val="Hyperlink"/>
          </w:rPr>
          <w:t>https://tools.ietf.org/html/rfc7469</w:t>
        </w:r>
      </w:hyperlink>
      <w:r>
        <w:t xml:space="preserve">. The rationale behind certificate pinning for production and backup keys is business continuity - see </w:t>
      </w:r>
      <w:hyperlink r:id="rId22"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23"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2"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2"/>
    </w:p>
    <w:p w14:paraId="1F94FB13" w14:textId="77777777" w:rsidR="003C52FF" w:rsidRDefault="003C52FF" w:rsidP="003C52FF">
      <w:pPr>
        <w:pStyle w:val="Heading2"/>
      </w:pPr>
      <w:bookmarkStart w:id="23"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t>V11.13</w:t>
            </w:r>
          </w:p>
        </w:tc>
        <w:tc>
          <w:tcPr>
            <w:tcW w:w="4363" w:type="dxa"/>
            <w:shd w:val="clear" w:color="auto" w:fill="auto"/>
          </w:tcPr>
          <w:p w14:paraId="0B2E2309" w14:textId="6604CE57" w:rsidR="00F86DEF" w:rsidRPr="00EA7027" w:rsidRDefault="005F0F5A" w:rsidP="005F0F5A">
            <w:pPr>
              <w:pStyle w:val="TableBody"/>
              <w:cnfStyle w:val="000000000000" w:firstRow="0" w:lastRow="0" w:firstColumn="0" w:lastColumn="0" w:oddVBand="0" w:evenVBand="0" w:oddHBand="0" w:evenHBand="0" w:firstRowFirstColumn="0" w:firstRowLastColumn="0" w:lastRowFirstColumn="0" w:lastRowLastColumn="0"/>
            </w:pPr>
            <w:r>
              <w:t>Verify that all API responses contain X-Content-Type-Options: nosniff and Content-Disposition: attachment; filename="api.json" (or other appropriate file name for the content type).</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4CE996C0" w14:textId="77777777" w:rsidR="005F0F5A" w:rsidRDefault="005F0F5A" w:rsidP="005F0F5A"/>
    <w:p w14:paraId="7654C30B" w14:textId="77777777" w:rsidR="003C52FF" w:rsidRDefault="003C52FF" w:rsidP="003C52FF">
      <w:pPr>
        <w:pStyle w:val="Heading2"/>
      </w:pPr>
      <w:r>
        <w:t>References</w:t>
      </w:r>
    </w:p>
    <w:p w14:paraId="2CCB8644" w14:textId="3C8227DF" w:rsidR="003C52FF" w:rsidRPr="00DF702A" w:rsidRDefault="0074381E" w:rsidP="0074381E">
      <w:pPr>
        <w:pStyle w:val="ListParagraph"/>
        <w:numPr>
          <w:ilvl w:val="0"/>
          <w:numId w:val="21"/>
        </w:numPr>
      </w:pPr>
      <w:r>
        <w:t>Adding Content-Disposition to API responses helps prevent many attacks based on misunderstanding on the MIME type between client and server, and the "filename" option specifically helps prevent Reflected File Download attacks.</w:t>
      </w:r>
      <w:r>
        <w:t xml:space="preserve"> </w:t>
      </w:r>
      <w:r>
        <w:br/>
      </w:r>
      <w:bookmarkStart w:id="24" w:name="_GoBack"/>
      <w:bookmarkEnd w:id="24"/>
      <w:r w:rsidR="005F0F5A">
        <w:fldChar w:fldCharType="begin"/>
      </w:r>
      <w:r w:rsidR="005F0F5A">
        <w:instrText xml:space="preserve"> HYPERLINK "</w:instrText>
      </w:r>
      <w:r w:rsidR="005F0F5A" w:rsidRPr="005F0F5A">
        <w:instrText>https://www.blackhat.com/docs/eu-14/materials/eu-14-Hafif-Reflected-File-Download-A-New-Web-Attack-Vector.pdf</w:instrText>
      </w:r>
      <w:r w:rsidR="005F0F5A">
        <w:instrText xml:space="preserve">" </w:instrText>
      </w:r>
      <w:r w:rsidR="005F0F5A">
        <w:fldChar w:fldCharType="separate"/>
      </w:r>
      <w:r w:rsidR="005F0F5A" w:rsidRPr="00157203">
        <w:rPr>
          <w:rStyle w:val="Hyperlink"/>
        </w:rPr>
        <w:t>https://www.blackhat.com/docs/eu-14/materials/eu-14-Hafif-Reflected-File-Download-A-New-Web-Attack-Vector.pdf</w:t>
      </w:r>
      <w:r w:rsidR="005F0F5A">
        <w:fldChar w:fldCharType="end"/>
      </w:r>
      <w:r w:rsidR="005F0F5A">
        <w:t xml:space="preserve"> </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3"/>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files obtained from untrusted sources are stored outside the webroot,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unqiue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application/json.</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Ensure that Content Security Policy headers are delivered in a way that either disables inline JavaScript or provides an integrity check on inline JavaScript with CSP noncing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.innerText and .val</w:t>
            </w:r>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Verify when parsing JSON in browsers, that JSON.parse is used to parse JSON on the client. Do not use eva</w:t>
            </w:r>
            <w:r w:rsidR="00FE1BF2">
              <w:rPr>
                <w:sz w:val="18"/>
                <w:szCs w:val="18"/>
              </w:rPr>
              <w:t>l</w:t>
            </w:r>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markup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Globally Unique Identifier</w:t>
      </w:r>
      <w:r>
        <w:rPr>
          <w:rFonts w:hint="eastAsia"/>
        </w:rPr>
        <w:t xml:space="preserve">  (GUID)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r w:rsidRPr="00553A4D">
        <w:rPr>
          <w:b/>
        </w:rPr>
        <w:t>HyperText Markup Language (HTML)</w:t>
      </w:r>
      <w:r>
        <w:t xml:space="preserve"> </w:t>
      </w:r>
      <w:r>
        <w:rPr>
          <w:lang w:val="en-US"/>
        </w:rPr>
        <w:t>-</w:t>
      </w:r>
      <w:r w:rsidR="009B2F06">
        <w:rPr>
          <w:rFonts w:hint="eastAsia"/>
        </w:rPr>
        <w:t xml:space="preserve"> The main markup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(SQLi)</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Threat Modeling</w:t>
      </w:r>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markup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24"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25"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6"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7"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8"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29"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30"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31"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r>
        <w:rPr>
          <w:rFonts w:hint="eastAsia"/>
        </w:rPr>
        <w:t xml:space="preserve">ublishers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32"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33"/>
      <w:headerReference w:type="default" r:id="rId34"/>
      <w:footerReference w:type="even" r:id="rId35"/>
      <w:footerReference w:type="default" r:id="rId3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3EDCE" w14:textId="77777777" w:rsidR="00414977" w:rsidRDefault="00414977" w:rsidP="00BD5F80">
      <w:r>
        <w:separator/>
      </w:r>
    </w:p>
  </w:endnote>
  <w:endnote w:type="continuationSeparator" w:id="0">
    <w:p w14:paraId="3E7A4816" w14:textId="77777777" w:rsidR="00414977" w:rsidRDefault="00414977"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C45F4B" w:rsidRPr="00856D99" w14:paraId="5ED49377" w14:textId="77777777" w:rsidTr="009B6EC5">
      <w:tc>
        <w:tcPr>
          <w:tcW w:w="295" w:type="pct"/>
          <w:tcBorders>
            <w:right w:val="single" w:sz="18" w:space="0" w:color="5B9BD5" w:themeColor="accent1"/>
          </w:tcBorders>
        </w:tcPr>
        <w:p w14:paraId="13242B90" w14:textId="77777777" w:rsidR="00C45F4B" w:rsidRPr="00856D99" w:rsidRDefault="00C45F4B"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74381E">
            <w:rPr>
              <w:noProof/>
              <w:sz w:val="20"/>
              <w:szCs w:val="20"/>
            </w:rPr>
            <w:t>62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C45F4B" w:rsidRPr="00856D99" w:rsidRDefault="00C45F4B" w:rsidP="00BD5F80">
              <w:pPr>
                <w:pStyle w:val="Header"/>
                <w:rPr>
                  <w:sz w:val="20"/>
                  <w:szCs w:val="20"/>
                </w:rPr>
              </w:pPr>
              <w:r w:rsidRPr="00856D99">
                <w:rPr>
                  <w:sz w:val="20"/>
                  <w:szCs w:val="20"/>
                </w:rPr>
                <w:t>OWASP Application Security Verification Standard 3.0</w:t>
              </w:r>
            </w:p>
          </w:tc>
        </w:sdtContent>
      </w:sdt>
    </w:tr>
  </w:tbl>
  <w:p w14:paraId="13F7D41B" w14:textId="77777777" w:rsidR="00C45F4B" w:rsidRDefault="00C45F4B"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C45F4B"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C45F4B" w:rsidRPr="00856D99" w:rsidRDefault="00C45F4B"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C45F4B" w:rsidRPr="00856D99" w:rsidRDefault="00C45F4B"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74381E">
            <w:rPr>
              <w:noProof/>
              <w:sz w:val="20"/>
              <w:szCs w:val="20"/>
            </w:rPr>
            <w:t>63</w:t>
          </w:r>
          <w:r w:rsidRPr="00856D99">
            <w:rPr>
              <w:sz w:val="20"/>
              <w:szCs w:val="20"/>
            </w:rPr>
            <w:fldChar w:fldCharType="end"/>
          </w:r>
        </w:p>
      </w:tc>
    </w:tr>
  </w:tbl>
  <w:p w14:paraId="3F4FC5CB" w14:textId="77777777" w:rsidR="00C45F4B" w:rsidRDefault="00C45F4B"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E7875" w14:textId="77777777" w:rsidR="00414977" w:rsidRDefault="00414977" w:rsidP="00BD5F80">
      <w:r>
        <w:separator/>
      </w:r>
    </w:p>
  </w:footnote>
  <w:footnote w:type="continuationSeparator" w:id="0">
    <w:p w14:paraId="5EC047A1" w14:textId="77777777" w:rsidR="00414977" w:rsidRDefault="00414977"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C45F4B" w:rsidRDefault="00C45F4B"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C45F4B" w:rsidRDefault="00C45F4B"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F557C"/>
    <w:multiLevelType w:val="hybridMultilevel"/>
    <w:tmpl w:val="78F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85FFB"/>
    <w:rsid w:val="00096189"/>
    <w:rsid w:val="00096DC1"/>
    <w:rsid w:val="000A0A5F"/>
    <w:rsid w:val="000A1EBE"/>
    <w:rsid w:val="000B523D"/>
    <w:rsid w:val="000C536A"/>
    <w:rsid w:val="000C6E3B"/>
    <w:rsid w:val="000C795A"/>
    <w:rsid w:val="000D7960"/>
    <w:rsid w:val="000E4205"/>
    <w:rsid w:val="000F4C2A"/>
    <w:rsid w:val="0010023D"/>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1AF7"/>
    <w:rsid w:val="0035744B"/>
    <w:rsid w:val="003657C8"/>
    <w:rsid w:val="003841E1"/>
    <w:rsid w:val="003936DC"/>
    <w:rsid w:val="003963F1"/>
    <w:rsid w:val="003B5092"/>
    <w:rsid w:val="003C52FF"/>
    <w:rsid w:val="003C7425"/>
    <w:rsid w:val="003D3FA3"/>
    <w:rsid w:val="003E4493"/>
    <w:rsid w:val="00401AC6"/>
    <w:rsid w:val="0040516A"/>
    <w:rsid w:val="00414977"/>
    <w:rsid w:val="00414CBB"/>
    <w:rsid w:val="004222FB"/>
    <w:rsid w:val="00424FB9"/>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0F5A"/>
    <w:rsid w:val="005F339B"/>
    <w:rsid w:val="006042A4"/>
    <w:rsid w:val="00620721"/>
    <w:rsid w:val="0063666C"/>
    <w:rsid w:val="006369B3"/>
    <w:rsid w:val="00647177"/>
    <w:rsid w:val="00653FC6"/>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381E"/>
    <w:rsid w:val="00744AF1"/>
    <w:rsid w:val="00745786"/>
    <w:rsid w:val="007554BA"/>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36B75"/>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2350A"/>
    <w:rsid w:val="00C31E9D"/>
    <w:rsid w:val="00C35321"/>
    <w:rsid w:val="00C40039"/>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77303"/>
    <w:rsid w:val="00D8689B"/>
    <w:rsid w:val="00D91369"/>
    <w:rsid w:val="00D9138A"/>
    <w:rsid w:val="00D921D0"/>
    <w:rsid w:val="00D922C1"/>
    <w:rsid w:val="00DE2619"/>
    <w:rsid w:val="00DE4840"/>
    <w:rsid w:val="00DF337E"/>
    <w:rsid w:val="00DF702A"/>
    <w:rsid w:val="00E02B2A"/>
    <w:rsid w:val="00E04065"/>
    <w:rsid w:val="00E11104"/>
    <w:rsid w:val="00E305D1"/>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mozilla.github.io/server-side-tls/ssl-config-generator/" TargetMode="External"/><Relationship Id="rId21" Type="http://schemas.openxmlformats.org/officeDocument/2006/relationships/hyperlink" Target="https://tools.ietf.org/html/rfc7469" TargetMode="External"/><Relationship Id="rId22" Type="http://schemas.openxmlformats.org/officeDocument/2006/relationships/hyperlink" Target="https://noncombatant.org/2015/05/01/about-http-public-key-pinning/" TargetMode="External"/><Relationship Id="rId23" Type="http://schemas.openxmlformats.org/officeDocument/2006/relationships/hyperlink" Target="https://www.chromium.org/hsts" TargetMode="External"/><Relationship Id="rId24" Type="http://schemas.openxmlformats.org/officeDocument/2006/relationships/hyperlink" Target="http://www.owasp.org/index.php/Category:OWASP_Code_Review_Project" TargetMode="External"/><Relationship Id="rId25" Type="http://schemas.openxmlformats.org/officeDocument/2006/relationships/hyperlink" Target="http://www.owasp.org/index.php/ESAPI" TargetMode="External"/><Relationship Id="rId26" Type="http://schemas.openxmlformats.org/officeDocument/2006/relationships/hyperlink" Target="https://www.owasp.org/index.php/Projects/OWASP_Mobile_Security_Project_-_Top_Ten_Mobile_Risks" TargetMode="External"/><Relationship Id="rId27" Type="http://schemas.openxmlformats.org/officeDocument/2006/relationships/hyperlink" Target="https://www.owasp.org/index.php/OWASP_Testing_Project" TargetMode="External"/><Relationship Id="rId28" Type="http://schemas.openxmlformats.org/officeDocument/2006/relationships/hyperlink" Target="http://www.owasp.org/index.php/Top_10" TargetMode="External"/><Relationship Id="rId29" Type="http://schemas.openxmlformats.org/officeDocument/2006/relationships/hyperlink" Target="http://www.owasp.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cwe.mitre.org/" TargetMode="External"/><Relationship Id="rId31" Type="http://schemas.openxmlformats.org/officeDocument/2006/relationships/hyperlink" Target="https://www.pcisecuritystandards.org" TargetMode="External"/><Relationship Id="rId32" Type="http://schemas.openxmlformats.org/officeDocument/2006/relationships/hyperlink" Target="https://www.pcisecuritystandards.org/documents/PCI_DSS_v3.pdf"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s://www.owasp.org/index.php/Transport_Layer_Protection_Cheat_Sheet" TargetMode="External"/><Relationship Id="rId19" Type="http://schemas.openxmlformats.org/officeDocument/2006/relationships/hyperlink" Target="https://wiki.mozilla.org/Security/Server_Side_TLS)" TargetMode="External"/><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D3574-88C1-494E-B3A1-075A39C71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63</Pages>
  <Words>11644</Words>
  <Characters>66377</Characters>
  <Application>Microsoft Macintosh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194</cp:revision>
  <dcterms:created xsi:type="dcterms:W3CDTF">2015-05-21T10:14:00Z</dcterms:created>
  <dcterms:modified xsi:type="dcterms:W3CDTF">2015-07-07T12:28:00Z</dcterms:modified>
</cp:coreProperties>
</file>